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ll</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after="240" w:before="240" w:line="276" w:lineRule="auto"/>
        <w:rPr>
          <w:rFonts w:ascii="Arial" w:cs="Arial" w:eastAsia="Arial" w:hAnsi="Arial"/>
        </w:rPr>
      </w:pPr>
      <w:r w:rsidDel="00000000" w:rsidR="00000000" w:rsidRPr="00000000">
        <w:rPr>
          <w:rFonts w:ascii="Arial" w:cs="Arial" w:eastAsia="Arial" w:hAnsi="Arial"/>
          <w:b w:val="1"/>
          <w:rtl w:val="0"/>
        </w:rPr>
        <w:t xml:space="preserve">TO:</w:t>
      </w:r>
      <w:r w:rsidDel="00000000" w:rsidR="00000000" w:rsidRPr="00000000">
        <w:rPr>
          <w:rFonts w:ascii="Arial" w:cs="Arial" w:eastAsia="Arial" w:hAnsi="Arial"/>
          <w:rtl w:val="0"/>
        </w:rPr>
        <w:tab/>
        <w:tab/>
        <w:t xml:space="preserve">Summer Food Service Program (SFSP) Sponsors </w:t>
        <w:tab/>
        <w:t xml:space="preserve">        </w:t>
        <w:tab/>
      </w:r>
    </w:p>
    <w:p w:rsidR="00000000" w:rsidDel="00000000" w:rsidP="00000000" w:rsidRDefault="00000000" w:rsidRPr="00000000" w14:paraId="00000005">
      <w:pPr>
        <w:spacing w:after="240" w:before="240" w:line="276" w:lineRule="auto"/>
        <w:rPr>
          <w:rFonts w:ascii="Arial" w:cs="Arial" w:eastAsia="Arial" w:hAnsi="Arial"/>
        </w:rPr>
      </w:pPr>
      <w:r w:rsidDel="00000000" w:rsidR="00000000" w:rsidRPr="00000000">
        <w:rPr>
          <w:rFonts w:ascii="Arial" w:cs="Arial" w:eastAsia="Arial" w:hAnsi="Arial"/>
          <w:b w:val="1"/>
          <w:rtl w:val="0"/>
        </w:rPr>
        <w:t xml:space="preserve">FROM:</w:t>
      </w:r>
      <w:r w:rsidDel="00000000" w:rsidR="00000000" w:rsidRPr="00000000">
        <w:rPr>
          <w:rFonts w:ascii="Arial" w:cs="Arial" w:eastAsia="Arial" w:hAnsi="Arial"/>
          <w:rtl w:val="0"/>
        </w:rPr>
        <w:tab/>
        <w:t xml:space="preserve">Carla Bankes, Child Nutrition Programs State Director </w:t>
      </w:r>
    </w:p>
    <w:p w:rsidR="00000000" w:rsidDel="00000000" w:rsidP="00000000" w:rsidRDefault="00000000" w:rsidRPr="00000000" w14:paraId="00000006">
      <w:pPr>
        <w:spacing w:after="240" w:before="240" w:line="276" w:lineRule="auto"/>
        <w:rPr>
          <w:rFonts w:ascii="Arial" w:cs="Arial" w:eastAsia="Arial" w:hAnsi="Arial"/>
        </w:rPr>
      </w:pPr>
      <w:r w:rsidDel="00000000" w:rsidR="00000000" w:rsidRPr="00000000">
        <w:rPr>
          <w:rFonts w:ascii="Arial" w:cs="Arial" w:eastAsia="Arial" w:hAnsi="Arial"/>
          <w:b w:val="1"/>
          <w:rtl w:val="0"/>
        </w:rPr>
        <w:t xml:space="preserve">DATE:</w:t>
      </w:r>
      <w:r w:rsidDel="00000000" w:rsidR="00000000" w:rsidRPr="00000000">
        <w:rPr>
          <w:rFonts w:ascii="Arial" w:cs="Arial" w:eastAsia="Arial" w:hAnsi="Arial"/>
          <w:rtl w:val="0"/>
        </w:rPr>
        <w:t xml:space="preserve">            8/12/24</w:t>
      </w:r>
    </w:p>
    <w:p w:rsidR="00000000" w:rsidDel="00000000" w:rsidP="00000000" w:rsidRDefault="00000000" w:rsidRPr="00000000" w14:paraId="00000007">
      <w:pPr>
        <w:spacing w:after="240" w:before="240" w:line="276" w:lineRule="auto"/>
        <w:rPr>
          <w:rFonts w:ascii="Arial" w:cs="Arial" w:eastAsia="Arial" w:hAnsi="Arial"/>
        </w:rPr>
      </w:pPr>
      <w:r w:rsidDel="00000000" w:rsidR="00000000" w:rsidRPr="00000000">
        <w:rPr>
          <w:rFonts w:ascii="Arial" w:cs="Arial" w:eastAsia="Arial" w:hAnsi="Arial"/>
          <w:b w:val="1"/>
          <w:rtl w:val="0"/>
        </w:rPr>
        <w:t xml:space="preserve">SUBJECT: </w:t>
      </w:r>
      <w:r w:rsidDel="00000000" w:rsidR="00000000" w:rsidRPr="00000000">
        <w:rPr>
          <w:rFonts w:ascii="Arial" w:cs="Arial" w:eastAsia="Arial" w:hAnsi="Arial"/>
          <w:rtl w:val="0"/>
        </w:rPr>
        <w:t xml:space="preserve">     CACFP monitoring review requirement for sponsoring organizations of DCHs</w:t>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center"/>
        <w:rPr>
          <w:rFonts w:ascii="Trebuchet MS" w:cs="Trebuchet MS" w:eastAsia="Trebuchet MS" w:hAnsi="Trebuchet MS"/>
          <w:color w:val="222222"/>
          <w:sz w:val="22.079999923706055"/>
          <w:szCs w:val="22.079999923706055"/>
        </w:rPr>
      </w:pPr>
      <w:r w:rsidDel="00000000" w:rsidR="00000000" w:rsidRPr="00000000">
        <w:rPr>
          <w:b w:val="1"/>
          <w:rtl w:val="0"/>
        </w:rPr>
        <w:t xml:space="preserve">CACFP Waiver Request:</w:t>
      </w:r>
      <w:r w:rsidDel="00000000" w:rsidR="00000000" w:rsidRPr="00000000">
        <w:rPr>
          <w:rtl w:val="0"/>
        </w:rPr>
        <w:t xml:space="preserve"> </w:t>
      </w:r>
      <w:r w:rsidDel="00000000" w:rsidR="00000000" w:rsidRPr="00000000">
        <w:rPr>
          <w:rFonts w:ascii="Trebuchet MS" w:cs="Trebuchet MS" w:eastAsia="Trebuchet MS" w:hAnsi="Trebuchet MS"/>
          <w:i w:val="1"/>
          <w:color w:val="222222"/>
          <w:sz w:val="22.079999923706055"/>
          <w:szCs w:val="22.079999923706055"/>
          <w:highlight w:val="white"/>
          <w:rtl w:val="0"/>
        </w:rPr>
        <w:t xml:space="preserve">7 CFR 226.16(d)(4)(iii) </w:t>
      </w:r>
      <w:r w:rsidDel="00000000" w:rsidR="00000000" w:rsidRPr="00000000">
        <w:rPr>
          <w:rFonts w:ascii="Trebuchet MS" w:cs="Trebuchet MS" w:eastAsia="Trebuchet MS" w:hAnsi="Trebuchet MS"/>
          <w:color w:val="222222"/>
          <w:sz w:val="22.079999923706055"/>
          <w:szCs w:val="22.079999923706055"/>
          <w:highlight w:val="white"/>
          <w:rtl w:val="0"/>
        </w:rPr>
        <w:t xml:space="preserve">Frequency and type of required reviews.</w:t>
      </w:r>
      <w:r w:rsidDel="00000000" w:rsidR="00000000" w:rsidRPr="00000000">
        <w:rPr>
          <w:rFonts w:ascii="Trebuchet MS" w:cs="Trebuchet MS" w:eastAsia="Trebuchet MS" w:hAnsi="Trebuchet MS"/>
          <w:color w:val="222222"/>
          <w:sz w:val="22.079999923706055"/>
          <w:szCs w:val="22.079999923706055"/>
          <w:rtl w:val="0"/>
        </w:rPr>
        <w:t xml:space="preserve"> </w:t>
      </w:r>
    </w:p>
    <w:p w:rsidR="00000000" w:rsidDel="00000000" w:rsidP="00000000" w:rsidRDefault="00000000" w:rsidRPr="00000000" w14:paraId="0000000C">
      <w:pPr>
        <w:numPr>
          <w:ilvl w:val="0"/>
          <w:numId w:val="1"/>
        </w:numPr>
        <w:ind w:left="720" w:hanging="360"/>
        <w:jc w:val="center"/>
        <w:rPr>
          <w:u w:val="none"/>
        </w:rPr>
      </w:pPr>
      <w:r w:rsidDel="00000000" w:rsidR="00000000" w:rsidRPr="00000000">
        <w:rPr>
          <w:rFonts w:ascii="Trebuchet MS" w:cs="Trebuchet MS" w:eastAsia="Trebuchet MS" w:hAnsi="Trebuchet MS"/>
          <w:color w:val="222222"/>
          <w:sz w:val="22.079999923706055"/>
          <w:szCs w:val="22.079999923706055"/>
          <w:highlight w:val="white"/>
          <w:rtl w:val="0"/>
        </w:rPr>
        <w:t xml:space="preserve">Specifically, that all three reviews must be conducted on-site.</w:t>
      </w:r>
      <w:r w:rsidDel="00000000" w:rsidR="00000000" w:rsidRPr="00000000">
        <w:rPr>
          <w:rFonts w:ascii="Trebuchet MS" w:cs="Trebuchet MS" w:eastAsia="Trebuchet MS" w:hAnsi="Trebuchet MS"/>
          <w:color w:val="222222"/>
          <w:sz w:val="22.079999923706055"/>
          <w:szCs w:val="22.079999923706055"/>
          <w:rtl w:val="0"/>
        </w:rPr>
        <w:t xml:space="preserve"> </w:t>
      </w:r>
      <w:r w:rsidDel="00000000" w:rsidR="00000000" w:rsidRPr="00000000">
        <w:rPr>
          <w:rtl w:val="0"/>
        </w:rPr>
        <w:t xml:space="preserve"> </w:t>
      </w:r>
    </w:p>
    <w:p w:rsidR="00000000" w:rsidDel="00000000" w:rsidP="00000000" w:rsidRDefault="00000000" w:rsidRPr="00000000" w14:paraId="0000000D">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240" w:lineRule="auto"/>
        <w:rPr/>
      </w:pPr>
      <w:r w:rsidDel="00000000" w:rsidR="00000000" w:rsidRPr="00000000">
        <w:rPr>
          <w:rtl w:val="0"/>
        </w:rPr>
        <w:t xml:space="preserve">Child Nutrition Programs are expected to be administered according to all statutory and regulatory requirements; waivers to the requirements are exceptions. However, Section 12(l) of the Richard B. Russell National School Lunch Act, 42 U.S.C. 1760(l), provides USDA authority to waive requirements for State agencies or eligible service providers under certain circumstances. </w:t>
      </w:r>
    </w:p>
    <w:p w:rsidR="00000000" w:rsidDel="00000000" w:rsidP="00000000" w:rsidRDefault="00000000" w:rsidRPr="00000000" w14:paraId="0000000F">
      <w:pPr>
        <w:spacing w:after="0" w:lineRule="auto"/>
        <w:rPr/>
      </w:pPr>
      <w:r w:rsidDel="00000000" w:rsidR="00000000" w:rsidRPr="00000000">
        <w:rPr>
          <w:rtl w:val="0"/>
        </w:rPr>
      </w:r>
    </w:p>
    <w:p w:rsidR="00000000" w:rsidDel="00000000" w:rsidP="00000000" w:rsidRDefault="00000000" w:rsidRPr="00000000" w14:paraId="00000010">
      <w:pPr>
        <w:spacing w:after="0" w:lineRule="auto"/>
        <w:rPr/>
      </w:pPr>
      <w:r w:rsidDel="00000000" w:rsidR="00000000" w:rsidRPr="00000000">
        <w:rPr>
          <w:rtl w:val="0"/>
        </w:rPr>
        <w:t xml:space="preserve">Wyoming Department of Education (WDE) has requested and has been approved the following waiver for Child and Adult Care Food Program (CACFP) sponsoring organizations to conduct off-site monitoring reviews of day care homes (DCHs):</w:t>
      </w:r>
    </w:p>
    <w:p w:rsidR="00000000" w:rsidDel="00000000" w:rsidP="00000000" w:rsidRDefault="00000000" w:rsidRPr="00000000" w14:paraId="00000011">
      <w:pPr>
        <w:spacing w:after="0" w:lineRule="auto"/>
        <w:rPr/>
      </w:pPr>
      <w:r w:rsidDel="00000000" w:rsidR="00000000" w:rsidRPr="00000000">
        <w:rPr>
          <w:rtl w:val="0"/>
        </w:rPr>
      </w:r>
    </w:p>
    <w:p w:rsidR="00000000" w:rsidDel="00000000" w:rsidP="00000000" w:rsidRDefault="00000000" w:rsidRPr="00000000" w14:paraId="00000012">
      <w:pPr>
        <w:spacing w:after="0" w:lineRule="auto"/>
        <w:rPr/>
      </w:pPr>
      <w:r w:rsidDel="00000000" w:rsidR="00000000" w:rsidRPr="00000000">
        <w:rPr>
          <w:b w:val="1"/>
          <w:rtl w:val="0"/>
        </w:rPr>
        <w:t xml:space="preserve">Waiver to allow DCHs sponsoring organizations to be allowed conduct off-site monitoring reviews: </w:t>
      </w:r>
      <w:r w:rsidDel="00000000" w:rsidR="00000000" w:rsidRPr="00000000">
        <w:rPr>
          <w:rtl w:val="0"/>
        </w:rPr>
        <w:t xml:space="preserve"> </w:t>
      </w:r>
    </w:p>
    <w:p w:rsidR="00000000" w:rsidDel="00000000" w:rsidP="00000000" w:rsidRDefault="00000000" w:rsidRPr="00000000" w14:paraId="00000013">
      <w:pPr>
        <w:rPr/>
      </w:pPr>
      <w:r w:rsidDel="00000000" w:rsidR="00000000" w:rsidRPr="00000000">
        <w:rPr>
          <w:rtl w:val="0"/>
        </w:rPr>
        <w:t xml:space="preserve">The waivers apply to any Wyoming DCHs sponsoring organization that wishes to utilize the waiver. DCHs sponsors in good standing that wish to use the waiver please contact Marianne Kerzman, Nutrition Consultant at Marianne.Kerzman1@wyo.gov or 307-777-6262.</w:t>
      </w:r>
    </w:p>
    <w:p w:rsidR="00000000" w:rsidDel="00000000" w:rsidP="00000000" w:rsidRDefault="00000000" w:rsidRPr="00000000" w14:paraId="00000014">
      <w:pPr>
        <w:rPr/>
      </w:pPr>
      <w:r w:rsidDel="00000000" w:rsidR="00000000" w:rsidRPr="00000000">
        <w:rPr>
          <w:rtl w:val="0"/>
        </w:rPr>
        <w:t xml:space="preserve">The waiver allows CACFP DCHs sponsors to conduct one (1) annual monitoring review offsite of DCHs that are in good standing. CACFP DCHs sponsoring organizations are also permitted to conduct a second offsite review of DCH providers who reside 50 miles or more from the sponsoring organization’s office. CACFP DCHs sponsors are still required to make at least one (1) on-site monitoring review of each DCH and it must be unannounced and include a meal service observation. </w:t>
        <w:br w:type="textWrapping"/>
      </w:r>
    </w:p>
    <w:p w:rsidR="00000000" w:rsidDel="00000000" w:rsidP="00000000" w:rsidRDefault="00000000" w:rsidRPr="00000000" w14:paraId="00000015">
      <w:pPr>
        <w:rPr/>
      </w:pPr>
      <w:r w:rsidDel="00000000" w:rsidR="00000000" w:rsidRPr="00000000">
        <w:rPr>
          <w:rtl w:val="0"/>
        </w:rPr>
        <w:t xml:space="preserve">The waiver is effective April 18, 2024, through September 30, 2024.   </w:t>
      </w:r>
    </w:p>
    <w:p w:rsidR="00000000" w:rsidDel="00000000" w:rsidP="00000000" w:rsidRDefault="00000000" w:rsidRPr="00000000" w14:paraId="00000016">
      <w:pPr>
        <w:rPr/>
      </w:pPr>
      <w:r w:rsidDel="00000000" w:rsidR="00000000" w:rsidRPr="00000000">
        <w:rPr>
          <w:rtl w:val="0"/>
        </w:rPr>
        <w:t xml:space="preserve">For more information or questions, contact Marianne Kerzman, Nutrition Consultant at Marianne.Kerzman1@wyo.gov or 307-777-6262.</w:t>
        <w:br w:type="textWrapping"/>
      </w:r>
    </w:p>
    <w:sectPr>
      <w:headerReference r:id="rId7" w:type="default"/>
      <w:headerReference r:id="rId8" w:type="first"/>
      <w:footerReference r:id="rId9" w:type="default"/>
      <w:footerReference r:id="rId10" w:type="first"/>
      <w:pgSz w:h="15840" w:w="12240" w:orient="portrait"/>
      <w:pgMar w:bottom="1170" w:top="1890" w:left="1440" w:right="1440" w:header="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-914396</wp:posOffset>
          </wp:positionH>
          <wp:positionV relativeFrom="paragraph">
            <wp:posOffset>0</wp:posOffset>
          </wp:positionV>
          <wp:extent cx="7744968" cy="914400"/>
          <wp:effectExtent b="0" l="0" r="0" t="0"/>
          <wp:wrapNone/>
          <wp:docPr id="68"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7744968" cy="91440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-914396</wp:posOffset>
          </wp:positionH>
          <wp:positionV relativeFrom="paragraph">
            <wp:posOffset>0</wp:posOffset>
          </wp:positionV>
          <wp:extent cx="7990895" cy="705142"/>
          <wp:effectExtent b="0" l="0" r="0" t="0"/>
          <wp:wrapNone/>
          <wp:docPr id="66" name="image2.jpg"/>
          <a:graphic>
            <a:graphicData uri="http://schemas.openxmlformats.org/drawingml/2006/picture">
              <pic:pic>
                <pic:nvPicPr>
                  <pic:cNvPr id="0" name="image2.jpg"/>
                  <pic:cNvPicPr preferRelativeResize="0"/>
                </pic:nvPicPr>
                <pic:blipFill>
                  <a:blip r:embed="rId1"/>
                  <a:srcRect b="0" l="8223" r="8221" t="0"/>
                  <a:stretch>
                    <a:fillRect/>
                  </a:stretch>
                </pic:blipFill>
                <pic:spPr>
                  <a:xfrm>
                    <a:off x="0" y="0"/>
                    <a:ext cx="7990895" cy="705142"/>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-914398</wp:posOffset>
          </wp:positionH>
          <wp:positionV relativeFrom="paragraph">
            <wp:posOffset>0</wp:posOffset>
          </wp:positionV>
          <wp:extent cx="7799832" cy="1371600"/>
          <wp:effectExtent b="0" l="0" r="0" t="0"/>
          <wp:wrapNone/>
          <wp:docPr id="6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99832" cy="1371600"/>
                  </a:xfrm>
                  <a:prstGeom prst="rect"/>
                  <a:ln/>
                </pic:spPr>
              </pic:pic>
            </a:graphicData>
          </a:graphic>
        </wp:anchor>
      </w:drawing>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align>right</wp:align>
          </wp:positionH>
          <wp:positionV relativeFrom="page">
            <wp:posOffset>9525</wp:posOffset>
          </wp:positionV>
          <wp:extent cx="7772399" cy="1828800"/>
          <wp:effectExtent b="0" l="0" r="0" t="0"/>
          <wp:wrapNone/>
          <wp:docPr id="65"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72399" cy="1828800"/>
                  </a:xfrm>
                  <a:prstGeom prst="rect"/>
                  <a:ln/>
                </pic:spPr>
              </pic:pic>
            </a:graphicData>
          </a:graphic>
        </wp:anchor>
      </w:drawing>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493294"/>
    <w:pPr>
      <w:tabs>
        <w:tab w:val="center" w:pos="4680"/>
        <w:tab w:val="right" w:pos="9360"/>
      </w:tabs>
      <w:spacing w:after="0" w:line="240" w:lineRule="auto"/>
    </w:pPr>
  </w:style>
  <w:style w:type="character" w:styleId="HeaderChar" w:customStyle="1">
    <w:name w:val="Header Char"/>
    <w:basedOn w:val="DefaultParagraphFont"/>
    <w:link w:val="Header"/>
    <w:uiPriority w:val="99"/>
    <w:rsid w:val="00493294"/>
  </w:style>
  <w:style w:type="paragraph" w:styleId="Footer">
    <w:name w:val="footer"/>
    <w:basedOn w:val="Normal"/>
    <w:link w:val="FooterChar"/>
    <w:uiPriority w:val="99"/>
    <w:unhideWhenUsed w:val="1"/>
    <w:rsid w:val="00493294"/>
    <w:pPr>
      <w:tabs>
        <w:tab w:val="center" w:pos="4680"/>
        <w:tab w:val="right" w:pos="9360"/>
      </w:tabs>
      <w:spacing w:after="0" w:line="240" w:lineRule="auto"/>
    </w:pPr>
  </w:style>
  <w:style w:type="character" w:styleId="FooterChar" w:customStyle="1">
    <w:name w:val="Footer Char"/>
    <w:basedOn w:val="DefaultParagraphFont"/>
    <w:link w:val="Footer"/>
    <w:uiPriority w:val="99"/>
    <w:rsid w:val="0049329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CjHHGCWmiGyJiHXNOAySuWgwmQ==">CgMxLjA4AHIhMTNJQVpuYWdDbUJZaWwzSzVYQjVDd1dvOXFxVGpBWFQ3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2023-01-03T17:46:00Z</dcterms:created>
  <dc:creator>Alison Reinemer</dc:creator>
</cp:coreProperties>
</file>