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B3" w:rsidRDefault="007871B8" w:rsidP="00CC57B3">
      <w:r>
        <w:rPr>
          <w:noProof/>
        </w:rPr>
        <w:drawing>
          <wp:inline distT="0" distB="0" distL="0" distR="0">
            <wp:extent cx="1525047" cy="1155700"/>
            <wp:effectExtent l="0" t="0" r="0" b="6350"/>
            <wp:docPr id="47" name="Picture 47" descr="Stylized brown and gold cowboy with a lasso looped with text Soaring Beyond Expectations" title="21st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1cclc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337" cy="1193053"/>
                    </a:xfrm>
                    <a:prstGeom prst="rect">
                      <a:avLst/>
                    </a:prstGeom>
                  </pic:spPr>
                </pic:pic>
              </a:graphicData>
            </a:graphic>
          </wp:inline>
        </w:drawing>
      </w:r>
    </w:p>
    <w:p w:rsidR="00CC57B3" w:rsidRDefault="00CC57B3" w:rsidP="00CC57B3">
      <w:pPr>
        <w:spacing w:after="0" w:line="240" w:lineRule="auto"/>
        <w:jc w:val="center"/>
        <w:rPr>
          <w:b/>
          <w:kern w:val="2"/>
          <w:sz w:val="28"/>
        </w:rPr>
      </w:pPr>
      <w:r>
        <w:rPr>
          <w:b/>
          <w:kern w:val="2"/>
          <w:sz w:val="28"/>
        </w:rPr>
        <w:t xml:space="preserve">Nita M. Lowey </w:t>
      </w:r>
      <w:r w:rsidRPr="00A44944">
        <w:rPr>
          <w:b/>
          <w:kern w:val="2"/>
          <w:sz w:val="28"/>
        </w:rPr>
        <w:t>21</w:t>
      </w:r>
      <w:r w:rsidRPr="00A44944">
        <w:rPr>
          <w:b/>
          <w:kern w:val="2"/>
          <w:sz w:val="28"/>
          <w:vertAlign w:val="superscript"/>
        </w:rPr>
        <w:t>st</w:t>
      </w:r>
      <w:r w:rsidRPr="00A44944">
        <w:rPr>
          <w:b/>
          <w:kern w:val="2"/>
          <w:sz w:val="28"/>
        </w:rPr>
        <w:t xml:space="preserve"> </w:t>
      </w:r>
      <w:r>
        <w:rPr>
          <w:b/>
          <w:kern w:val="2"/>
          <w:sz w:val="28"/>
        </w:rPr>
        <w:t>Century Community Learning Centers (21stCCLC)</w:t>
      </w:r>
    </w:p>
    <w:p w:rsidR="00CC57B3" w:rsidRDefault="00CC57B3" w:rsidP="00CC57B3">
      <w:pPr>
        <w:spacing w:after="0" w:line="240" w:lineRule="auto"/>
        <w:jc w:val="center"/>
        <w:rPr>
          <w:b/>
          <w:kern w:val="2"/>
          <w:sz w:val="28"/>
        </w:rPr>
      </w:pPr>
      <w:r>
        <w:rPr>
          <w:b/>
          <w:kern w:val="2"/>
          <w:sz w:val="28"/>
        </w:rPr>
        <w:t xml:space="preserve"> Application for Flexibility- Expanding Definition of 21</w:t>
      </w:r>
      <w:r w:rsidRPr="000F7844">
        <w:rPr>
          <w:b/>
          <w:kern w:val="2"/>
          <w:sz w:val="28"/>
          <w:vertAlign w:val="superscript"/>
        </w:rPr>
        <w:t>st</w:t>
      </w:r>
      <w:r>
        <w:rPr>
          <w:b/>
          <w:kern w:val="2"/>
          <w:sz w:val="28"/>
        </w:rPr>
        <w:t xml:space="preserve"> Century Community Learning Center and Non-School Hours Allowability</w:t>
      </w:r>
    </w:p>
    <w:p w:rsidR="00CC57B3" w:rsidRPr="00A44944" w:rsidRDefault="00CC57B3" w:rsidP="00CC57B3">
      <w:pPr>
        <w:spacing w:after="0" w:line="240" w:lineRule="auto"/>
        <w:jc w:val="center"/>
        <w:rPr>
          <w:b/>
          <w:kern w:val="2"/>
          <w:sz w:val="28"/>
        </w:rPr>
      </w:pPr>
      <w:r>
        <w:rPr>
          <w:b/>
          <w:kern w:val="2"/>
          <w:sz w:val="28"/>
        </w:rPr>
        <w:t>School Year 2020-21</w:t>
      </w:r>
    </w:p>
    <w:p w:rsidR="00CC57B3" w:rsidRPr="00A44944" w:rsidRDefault="00B85A92" w:rsidP="00CC57B3">
      <w:pPr>
        <w:spacing w:after="0" w:line="240" w:lineRule="auto"/>
        <w:jc w:val="center"/>
        <w:rPr>
          <w:b/>
          <w:kern w:val="2"/>
        </w:rPr>
      </w:pPr>
      <w:r>
        <w:rPr>
          <w:kern w:val="2"/>
        </w:rPr>
        <w:pict>
          <v:rect id="_x0000_i1025" style="width:0;height:1.5pt" o:hralign="center" o:hrstd="t" o:hr="t" fillcolor="#a0a0a0" stroked="f"/>
        </w:pict>
      </w:r>
    </w:p>
    <w:p w:rsidR="00CC57B3" w:rsidRPr="00D31333" w:rsidRDefault="00CC57B3" w:rsidP="00CC57B3">
      <w:pPr>
        <w:spacing w:after="0" w:line="240" w:lineRule="auto"/>
        <w:rPr>
          <w:rFonts w:ascii="Arial" w:hAnsi="Arial" w:cs="Arial"/>
          <w:color w:val="595959" w:themeColor="text1" w:themeTint="A6"/>
          <w:kern w:val="2"/>
        </w:rPr>
      </w:pPr>
      <w:r w:rsidRPr="00D31333">
        <w:rPr>
          <w:rFonts w:ascii="Arial" w:hAnsi="Arial" w:cs="Arial"/>
          <w:color w:val="595959" w:themeColor="text1" w:themeTint="A6"/>
          <w:kern w:val="2"/>
        </w:rPr>
        <w:t>Title IV, Part B of the Elementary and Secondary Education Act (ESEA), the law authorizing the 21</w:t>
      </w:r>
      <w:r w:rsidRPr="00D31333">
        <w:rPr>
          <w:rFonts w:ascii="Arial" w:hAnsi="Arial" w:cs="Arial"/>
          <w:color w:val="595959" w:themeColor="text1" w:themeTint="A6"/>
          <w:kern w:val="2"/>
          <w:vertAlign w:val="superscript"/>
        </w:rPr>
        <w:t>st</w:t>
      </w:r>
      <w:r w:rsidRPr="00D31333">
        <w:rPr>
          <w:rFonts w:ascii="Arial" w:hAnsi="Arial" w:cs="Arial"/>
          <w:color w:val="595959" w:themeColor="text1" w:themeTint="A6"/>
          <w:kern w:val="2"/>
        </w:rPr>
        <w:t xml:space="preserve"> CCLC program, defines community learning centers as entities providing activities during out-of-school time (OST), or “non-school hours or periods when school is not in session”. The U.S. Department of Education </w:t>
      </w:r>
      <w:r>
        <w:rPr>
          <w:rFonts w:ascii="Arial" w:hAnsi="Arial" w:cs="Arial"/>
          <w:color w:val="595959" w:themeColor="text1" w:themeTint="A6"/>
          <w:kern w:val="2"/>
        </w:rPr>
        <w:t>offered</w:t>
      </w:r>
      <w:r w:rsidRPr="00D31333">
        <w:rPr>
          <w:rFonts w:ascii="Arial" w:hAnsi="Arial" w:cs="Arial"/>
          <w:color w:val="595959" w:themeColor="text1" w:themeTint="A6"/>
          <w:kern w:val="2"/>
        </w:rPr>
        <w:t xml:space="preserve"> a waiver allowing State Education Agencies</w:t>
      </w:r>
      <w:r>
        <w:rPr>
          <w:rFonts w:ascii="Arial" w:hAnsi="Arial" w:cs="Arial"/>
          <w:color w:val="595959" w:themeColor="text1" w:themeTint="A6"/>
          <w:kern w:val="2"/>
        </w:rPr>
        <w:t xml:space="preserve"> to waive the definition of out-of-</w:t>
      </w:r>
      <w:r w:rsidRPr="00D31333">
        <w:rPr>
          <w:rFonts w:ascii="Arial" w:hAnsi="Arial" w:cs="Arial"/>
          <w:color w:val="595959" w:themeColor="text1" w:themeTint="A6"/>
          <w:kern w:val="2"/>
        </w:rPr>
        <w:t xml:space="preserve">school time for the </w:t>
      </w:r>
      <w:r w:rsidRPr="006755E9">
        <w:rPr>
          <w:rFonts w:ascii="Arial" w:hAnsi="Arial" w:cs="Arial"/>
          <w:color w:val="595959" w:themeColor="text1" w:themeTint="A6"/>
          <w:kern w:val="2"/>
          <w:u w:val="single"/>
        </w:rPr>
        <w:t>2020-21 school year only</w:t>
      </w:r>
      <w:r w:rsidRPr="00D31333">
        <w:rPr>
          <w:rFonts w:ascii="Arial" w:hAnsi="Arial" w:cs="Arial"/>
          <w:color w:val="595959" w:themeColor="text1" w:themeTint="A6"/>
          <w:kern w:val="2"/>
        </w:rPr>
        <w:t>. This provides local programs with more flexibility to meet community needs related to COVID-19 by allowing for the use of 21</w:t>
      </w:r>
      <w:r w:rsidRPr="00D31333">
        <w:rPr>
          <w:rFonts w:ascii="Arial" w:hAnsi="Arial" w:cs="Arial"/>
          <w:color w:val="595959" w:themeColor="text1" w:themeTint="A6"/>
          <w:kern w:val="2"/>
          <w:vertAlign w:val="superscript"/>
        </w:rPr>
        <w:t>st</w:t>
      </w:r>
      <w:r w:rsidRPr="00D31333">
        <w:rPr>
          <w:rFonts w:ascii="Arial" w:hAnsi="Arial" w:cs="Arial"/>
          <w:color w:val="595959" w:themeColor="text1" w:themeTint="A6"/>
          <w:kern w:val="2"/>
        </w:rPr>
        <w:t xml:space="preserve"> CCLC funds to support programming when schools are currently operating but students are not attending in-person. This waiver requires that </w:t>
      </w:r>
      <w:r>
        <w:rPr>
          <w:rFonts w:ascii="Arial" w:hAnsi="Arial" w:cs="Arial"/>
          <w:color w:val="595959" w:themeColor="text1" w:themeTint="A6"/>
          <w:kern w:val="2"/>
        </w:rPr>
        <w:t xml:space="preserve">the intent of </w:t>
      </w:r>
      <w:r w:rsidRPr="00D31333">
        <w:rPr>
          <w:rFonts w:ascii="Arial" w:hAnsi="Arial" w:cs="Arial"/>
          <w:color w:val="595959" w:themeColor="text1" w:themeTint="A6"/>
          <w:kern w:val="2"/>
        </w:rPr>
        <w:t>the current, approved application</w:t>
      </w:r>
      <w:r>
        <w:rPr>
          <w:rFonts w:ascii="Arial" w:hAnsi="Arial" w:cs="Arial"/>
          <w:color w:val="595959" w:themeColor="text1" w:themeTint="A6"/>
          <w:kern w:val="2"/>
        </w:rPr>
        <w:t xml:space="preserve">/continuation and Program Implementation Plan. Modifications that include serving different schools or offering substantially different activities may require an amendment through GMS. Any anticipated changes to the program budget should be pre-approved through the amendment process on GMS. </w:t>
      </w:r>
      <w:r w:rsidRPr="00D31333">
        <w:rPr>
          <w:rFonts w:ascii="Arial" w:hAnsi="Arial" w:cs="Arial"/>
          <w:color w:val="595959" w:themeColor="text1" w:themeTint="A6"/>
          <w:kern w:val="2"/>
        </w:rPr>
        <w:t xml:space="preserve"> </w:t>
      </w:r>
      <w:r>
        <w:rPr>
          <w:rFonts w:ascii="Arial" w:hAnsi="Arial" w:cs="Arial"/>
          <w:color w:val="595959" w:themeColor="text1" w:themeTint="A6"/>
          <w:kern w:val="2"/>
        </w:rPr>
        <w:t>All programming funded through 21stCCLC must continue to be</w:t>
      </w:r>
      <w:r w:rsidRPr="00D31333">
        <w:rPr>
          <w:rFonts w:ascii="Arial" w:hAnsi="Arial" w:cs="Arial"/>
          <w:color w:val="595959" w:themeColor="text1" w:themeTint="A6"/>
          <w:kern w:val="2"/>
        </w:rPr>
        <w:t xml:space="preserve"> supplemental (does not supplant school day responsibilities)</w:t>
      </w:r>
      <w:r>
        <w:rPr>
          <w:rFonts w:ascii="Arial" w:hAnsi="Arial" w:cs="Arial"/>
          <w:color w:val="595959" w:themeColor="text1" w:themeTint="A6"/>
          <w:kern w:val="2"/>
        </w:rPr>
        <w:t>.</w:t>
      </w:r>
      <w:r w:rsidRPr="00D31333">
        <w:rPr>
          <w:rFonts w:ascii="Arial" w:hAnsi="Arial" w:cs="Arial"/>
          <w:color w:val="595959" w:themeColor="text1" w:themeTint="A6"/>
          <w:kern w:val="2"/>
        </w:rPr>
        <w:t xml:space="preserve"> </w:t>
      </w:r>
      <w:r w:rsidRPr="00D31333">
        <w:rPr>
          <w:rFonts w:ascii="Arial" w:hAnsi="Arial" w:cs="Arial"/>
          <w:b/>
          <w:bCs/>
          <w:i/>
          <w:iCs/>
          <w:color w:val="595959" w:themeColor="text1" w:themeTint="A6"/>
          <w:kern w:val="2"/>
        </w:rPr>
        <w:t>All 21</w:t>
      </w:r>
      <w:r w:rsidRPr="00D31333">
        <w:rPr>
          <w:rFonts w:ascii="Arial" w:hAnsi="Arial" w:cs="Arial"/>
          <w:b/>
          <w:bCs/>
          <w:i/>
          <w:iCs/>
          <w:color w:val="595959" w:themeColor="text1" w:themeTint="A6"/>
          <w:kern w:val="2"/>
          <w:vertAlign w:val="superscript"/>
        </w:rPr>
        <w:t>st</w:t>
      </w:r>
      <w:r w:rsidRPr="00D31333">
        <w:rPr>
          <w:rFonts w:ascii="Arial" w:hAnsi="Arial" w:cs="Arial"/>
          <w:b/>
          <w:bCs/>
          <w:i/>
          <w:iCs/>
          <w:color w:val="595959" w:themeColor="text1" w:themeTint="A6"/>
          <w:kern w:val="2"/>
        </w:rPr>
        <w:t xml:space="preserve"> CCLC programming must adhere to local, state, and federal health and safety guidelines.</w:t>
      </w:r>
      <w:r>
        <w:rPr>
          <w:rFonts w:ascii="Arial" w:hAnsi="Arial" w:cs="Arial"/>
          <w:b/>
          <w:bCs/>
          <w:i/>
          <w:iCs/>
          <w:color w:val="595959" w:themeColor="text1" w:themeTint="A6"/>
          <w:kern w:val="2"/>
        </w:rPr>
        <w:t xml:space="preserve"> Approval of the waiver does not imply additional funding is available to subgrantee to implement waiver activities.</w:t>
      </w:r>
    </w:p>
    <w:p w:rsidR="00CC57B3" w:rsidRPr="00D31333" w:rsidRDefault="00CC57B3" w:rsidP="00CC57B3">
      <w:pPr>
        <w:spacing w:after="0" w:line="240" w:lineRule="auto"/>
        <w:rPr>
          <w:rFonts w:ascii="Arial" w:hAnsi="Arial" w:cs="Arial"/>
          <w:color w:val="595959" w:themeColor="text1" w:themeTint="A6"/>
          <w:kern w:val="2"/>
        </w:rPr>
      </w:pPr>
    </w:p>
    <w:p w:rsidR="007871B8" w:rsidRDefault="00CC57B3" w:rsidP="0087146A">
      <w:pPr>
        <w:spacing w:after="0" w:line="240" w:lineRule="auto"/>
        <w:rPr>
          <w:rFonts w:ascii="Arial" w:hAnsi="Arial" w:cs="Arial"/>
          <w:color w:val="595959" w:themeColor="text1" w:themeTint="A6"/>
          <w:kern w:val="2"/>
        </w:rPr>
      </w:pPr>
      <w:r w:rsidRPr="00D31333">
        <w:rPr>
          <w:rFonts w:ascii="Arial" w:hAnsi="Arial" w:cs="Arial"/>
          <w:color w:val="595959" w:themeColor="text1" w:themeTint="A6"/>
          <w:kern w:val="2"/>
        </w:rPr>
        <w:t>21</w:t>
      </w:r>
      <w:r w:rsidRPr="00D31333">
        <w:rPr>
          <w:rFonts w:ascii="Arial" w:hAnsi="Arial" w:cs="Arial"/>
          <w:color w:val="595959" w:themeColor="text1" w:themeTint="A6"/>
          <w:kern w:val="2"/>
          <w:vertAlign w:val="superscript"/>
        </w:rPr>
        <w:t>st</w:t>
      </w:r>
      <w:r w:rsidRPr="00D31333">
        <w:rPr>
          <w:rFonts w:ascii="Arial" w:hAnsi="Arial" w:cs="Arial"/>
          <w:color w:val="595959" w:themeColor="text1" w:themeTint="A6"/>
          <w:kern w:val="2"/>
        </w:rPr>
        <w:t xml:space="preserve"> CCLC subgrantees interested in applying for this waiver are required to complete this application and submit it via an amendment to the 21stCCLC grant to be used to support this flexibility. Subgrantees may submit completed forms </w:t>
      </w:r>
      <w:r w:rsidR="00342C48">
        <w:rPr>
          <w:rFonts w:ascii="Arial" w:hAnsi="Arial" w:cs="Arial"/>
          <w:color w:val="595959" w:themeColor="text1" w:themeTint="A6"/>
          <w:kern w:val="2"/>
        </w:rPr>
        <w:t xml:space="preserve">with required signatures </w:t>
      </w:r>
      <w:r w:rsidRPr="00D31333">
        <w:rPr>
          <w:rFonts w:ascii="Arial" w:hAnsi="Arial" w:cs="Arial"/>
          <w:color w:val="595959" w:themeColor="text1" w:themeTint="A6"/>
          <w:kern w:val="2"/>
        </w:rPr>
        <w:t xml:space="preserve">at any time through December 31, 2020. Submitted applications will undergo an expedited review process by the 21stCCLC Program Consultant. Extensions for this deadline are available upon request.  For more information contact Karen Bierhaus, 21stCCLC Program Consultant, </w:t>
      </w:r>
      <w:hyperlink r:id="rId8" w:history="1">
        <w:r w:rsidRPr="00D31333">
          <w:rPr>
            <w:rStyle w:val="Hyperlink"/>
            <w:rFonts w:ascii="Arial" w:hAnsi="Arial" w:cs="Arial"/>
            <w:kern w:val="2"/>
          </w:rPr>
          <w:t>karen.bierhaus@wyo.gov</w:t>
        </w:r>
      </w:hyperlink>
      <w:r w:rsidR="0087146A">
        <w:rPr>
          <w:rFonts w:ascii="Arial" w:hAnsi="Arial" w:cs="Arial"/>
          <w:color w:val="595959" w:themeColor="text1" w:themeTint="A6"/>
          <w:kern w:val="2"/>
        </w:rPr>
        <w:t xml:space="preserve"> 307-857-9284.</w:t>
      </w:r>
    </w:p>
    <w:p w:rsidR="0087146A" w:rsidRPr="0087146A" w:rsidRDefault="0087146A" w:rsidP="0087146A">
      <w:pPr>
        <w:spacing w:after="0" w:line="240" w:lineRule="auto"/>
        <w:rPr>
          <w:rFonts w:ascii="Arial" w:hAnsi="Arial" w:cs="Arial"/>
          <w:color w:val="595959" w:themeColor="text1" w:themeTint="A6"/>
          <w:kern w:val="2"/>
        </w:rPr>
      </w:pPr>
    </w:p>
    <w:p w:rsidR="007871B8" w:rsidRPr="009C013D" w:rsidRDefault="009C013D" w:rsidP="00CC57B3">
      <w:pPr>
        <w:rPr>
          <w:rFonts w:ascii="Arial" w:hAnsi="Arial" w:cs="Arial"/>
          <w:color w:val="2F5496" w:themeColor="accent5" w:themeShade="BF"/>
          <w:spacing w:val="2"/>
          <w:shd w:val="clear" w:color="auto" w:fill="FFFFFF"/>
        </w:rPr>
      </w:pPr>
      <w:r>
        <w:rPr>
          <w:rFonts w:ascii="Arial" w:hAnsi="Arial" w:cs="Arial"/>
          <w:color w:val="202124"/>
          <w:spacing w:val="2"/>
          <w:shd w:val="clear" w:color="auto" w:fill="FFFFFF"/>
        </w:rPr>
        <w:t>Typed</w:t>
      </w:r>
      <w:r w:rsidR="007871B8">
        <w:rPr>
          <w:rFonts w:ascii="Arial" w:hAnsi="Arial" w:cs="Arial"/>
          <w:color w:val="202124"/>
          <w:spacing w:val="2"/>
          <w:shd w:val="clear" w:color="auto" w:fill="FFFFFF"/>
        </w:rPr>
        <w:t xml:space="preserve"> responses </w:t>
      </w:r>
      <w:r>
        <w:rPr>
          <w:rFonts w:ascii="Arial" w:hAnsi="Arial" w:cs="Arial"/>
          <w:color w:val="202124"/>
          <w:spacing w:val="2"/>
          <w:shd w:val="clear" w:color="auto" w:fill="FFFFFF"/>
        </w:rPr>
        <w:t>should appear in</w:t>
      </w:r>
      <w:r w:rsidR="007871B8">
        <w:rPr>
          <w:rFonts w:ascii="Arial" w:hAnsi="Arial" w:cs="Arial"/>
          <w:color w:val="202124"/>
          <w:spacing w:val="2"/>
          <w:shd w:val="clear" w:color="auto" w:fill="FFFFFF"/>
        </w:rPr>
        <w:t xml:space="preserve"> </w:t>
      </w:r>
      <w:r w:rsidR="007871B8" w:rsidRPr="007871B8">
        <w:rPr>
          <w:rFonts w:ascii="Arial" w:hAnsi="Arial" w:cs="Arial"/>
          <w:i/>
          <w:color w:val="202124"/>
          <w:spacing w:val="2"/>
          <w:shd w:val="clear" w:color="auto" w:fill="FFFFFF"/>
        </w:rPr>
        <w:t>italicized text</w:t>
      </w:r>
      <w:r>
        <w:rPr>
          <w:rFonts w:ascii="Arial" w:hAnsi="Arial" w:cs="Arial"/>
          <w:i/>
          <w:color w:val="202124"/>
          <w:spacing w:val="2"/>
          <w:shd w:val="clear" w:color="auto" w:fill="FFFFFF"/>
        </w:rPr>
        <w:t xml:space="preserve"> </w:t>
      </w:r>
      <w:r>
        <w:rPr>
          <w:rFonts w:ascii="Arial" w:hAnsi="Arial" w:cs="Arial"/>
          <w:color w:val="202124"/>
          <w:spacing w:val="2"/>
          <w:shd w:val="clear" w:color="auto" w:fill="FFFFFF"/>
        </w:rPr>
        <w:t xml:space="preserve">and </w:t>
      </w:r>
      <w:r>
        <w:rPr>
          <w:rFonts w:ascii="Arial" w:hAnsi="Arial" w:cs="Arial"/>
          <w:color w:val="2F5496" w:themeColor="accent5" w:themeShade="BF"/>
          <w:spacing w:val="2"/>
          <w:shd w:val="clear" w:color="auto" w:fill="FFFFFF"/>
        </w:rPr>
        <w:t>blue font.</w:t>
      </w:r>
    </w:p>
    <w:p w:rsidR="00CC57B3" w:rsidRPr="007871B8" w:rsidRDefault="00CC57B3" w:rsidP="00CC57B3">
      <w:pPr>
        <w:rPr>
          <w:rFonts w:ascii="Arial" w:hAnsi="Arial" w:cs="Arial"/>
          <w:i/>
          <w:color w:val="2F5496" w:themeColor="accent5" w:themeShade="BF"/>
          <w:spacing w:val="2"/>
          <w:shd w:val="clear" w:color="auto" w:fill="FFFFFF"/>
        </w:rPr>
      </w:pPr>
      <w:r w:rsidRPr="007871B8">
        <w:rPr>
          <w:rFonts w:ascii="Arial" w:hAnsi="Arial" w:cs="Arial"/>
          <w:color w:val="202124"/>
          <w:spacing w:val="2"/>
          <w:u w:val="single"/>
          <w:shd w:val="clear" w:color="auto" w:fill="FFFFFF"/>
        </w:rPr>
        <w:lastRenderedPageBreak/>
        <w:t>Subgrantee Organization</w:t>
      </w:r>
      <w:r>
        <w:rPr>
          <w:rFonts w:ascii="Arial" w:hAnsi="Arial" w:cs="Arial"/>
          <w:color w:val="202124"/>
          <w:spacing w:val="2"/>
          <w:shd w:val="clear" w:color="auto" w:fill="FFFFFF"/>
        </w:rPr>
        <w:t xml:space="preserve">: </w:t>
      </w:r>
    </w:p>
    <w:p w:rsidR="00CC57B3" w:rsidRPr="007871B8" w:rsidRDefault="00CC57B3" w:rsidP="00CC57B3">
      <w:pPr>
        <w:rPr>
          <w:rFonts w:ascii="Arial" w:hAnsi="Arial" w:cs="Arial"/>
          <w:i/>
          <w:color w:val="2F5496" w:themeColor="accent5" w:themeShade="BF"/>
          <w:spacing w:val="2"/>
          <w:shd w:val="clear" w:color="auto" w:fill="FFFFFF"/>
        </w:rPr>
      </w:pPr>
      <w:r w:rsidRPr="007871B8">
        <w:rPr>
          <w:rFonts w:ascii="Arial" w:hAnsi="Arial" w:cs="Arial"/>
          <w:color w:val="202124"/>
          <w:spacing w:val="2"/>
          <w:u w:val="single"/>
          <w:shd w:val="clear" w:color="auto" w:fill="FFFFFF"/>
        </w:rPr>
        <w:t>Coordinator Name</w:t>
      </w:r>
      <w:r>
        <w:rPr>
          <w:rFonts w:ascii="Arial" w:hAnsi="Arial" w:cs="Arial"/>
          <w:color w:val="202124"/>
          <w:spacing w:val="2"/>
          <w:shd w:val="clear" w:color="auto" w:fill="FFFFFF"/>
        </w:rPr>
        <w:t>:</w:t>
      </w:r>
      <w:r w:rsidRPr="005A39EB">
        <w:rPr>
          <w:rFonts w:ascii="Arial" w:hAnsi="Arial" w:cs="Arial"/>
          <w:color w:val="202124"/>
          <w:spacing w:val="2"/>
          <w:shd w:val="clear" w:color="auto" w:fill="FFFFFF"/>
        </w:rPr>
        <w:t xml:space="preserve"> </w:t>
      </w:r>
    </w:p>
    <w:p w:rsidR="00CC57B3" w:rsidRPr="007871B8" w:rsidRDefault="00CC57B3" w:rsidP="00CC57B3">
      <w:pPr>
        <w:rPr>
          <w:rFonts w:ascii="Arial" w:hAnsi="Arial" w:cs="Arial"/>
          <w:i/>
          <w:color w:val="2F5496" w:themeColor="accent5" w:themeShade="BF"/>
          <w:spacing w:val="2"/>
          <w:shd w:val="clear" w:color="auto" w:fill="FFFFFF"/>
        </w:rPr>
      </w:pPr>
      <w:r w:rsidRPr="007871B8">
        <w:rPr>
          <w:rFonts w:ascii="Arial" w:hAnsi="Arial" w:cs="Arial"/>
          <w:color w:val="202124"/>
          <w:spacing w:val="2"/>
          <w:u w:val="single"/>
          <w:shd w:val="clear" w:color="auto" w:fill="FFFFFF"/>
        </w:rPr>
        <w:t>Name and Email of Person Completing the Survey</w:t>
      </w:r>
      <w:r>
        <w:rPr>
          <w:rFonts w:ascii="Arial" w:hAnsi="Arial" w:cs="Arial"/>
          <w:color w:val="202124"/>
          <w:spacing w:val="2"/>
          <w:shd w:val="clear" w:color="auto" w:fill="FFFFFF"/>
        </w:rPr>
        <w:t xml:space="preserve">: </w:t>
      </w:r>
    </w:p>
    <w:p w:rsidR="00CC57B3" w:rsidRPr="007871B8" w:rsidRDefault="00CC57B3" w:rsidP="00CC57B3">
      <w:pPr>
        <w:pStyle w:val="ListParagraph"/>
        <w:numPr>
          <w:ilvl w:val="0"/>
          <w:numId w:val="1"/>
        </w:numPr>
        <w:rPr>
          <w:rFonts w:ascii="Arial" w:hAnsi="Arial" w:cs="Arial"/>
          <w:i/>
          <w:color w:val="2F5496" w:themeColor="accent5" w:themeShade="BF"/>
          <w:spacing w:val="2"/>
          <w:shd w:val="clear" w:color="auto" w:fill="FFFFFF"/>
        </w:rPr>
      </w:pPr>
      <w:r>
        <w:rPr>
          <w:rFonts w:ascii="Arial" w:hAnsi="Arial" w:cs="Arial"/>
          <w:color w:val="202124"/>
          <w:spacing w:val="2"/>
          <w:shd w:val="clear" w:color="auto" w:fill="FFFFFF"/>
        </w:rPr>
        <w:t>By cohort, l</w:t>
      </w:r>
      <w:r w:rsidRPr="00D414CD">
        <w:rPr>
          <w:rFonts w:ascii="Arial" w:hAnsi="Arial" w:cs="Arial"/>
          <w:color w:val="202124"/>
          <w:spacing w:val="2"/>
          <w:shd w:val="clear" w:color="auto" w:fill="FFFFFF"/>
        </w:rPr>
        <w:t xml:space="preserve">ist the currently approved centers that will be operating for students and families under the non-school hours flexibility waiver, the new hours of operation for each center (include </w:t>
      </w:r>
      <w:r w:rsidRPr="00D414CD">
        <w:rPr>
          <w:rFonts w:ascii="Arial" w:hAnsi="Arial" w:cs="Arial"/>
          <w:color w:val="202124"/>
          <w:spacing w:val="2"/>
          <w:u w:val="single"/>
          <w:shd w:val="clear" w:color="auto" w:fill="FFFFFF"/>
        </w:rPr>
        <w:t>all</w:t>
      </w:r>
      <w:r w:rsidRPr="00D414CD">
        <w:rPr>
          <w:rFonts w:ascii="Arial" w:hAnsi="Arial" w:cs="Arial"/>
          <w:color w:val="202124"/>
          <w:spacing w:val="2"/>
          <w:shd w:val="clear" w:color="auto" w:fill="FFFFFF"/>
        </w:rPr>
        <w:t xml:space="preserve"> hours of operation under 21stCCLC, not just former school day times).</w:t>
      </w:r>
    </w:p>
    <w:p w:rsidR="00CC57B3" w:rsidRPr="007871B8" w:rsidRDefault="00CC57B3" w:rsidP="00CC57B3">
      <w:pPr>
        <w:pStyle w:val="ListParagraph"/>
        <w:ind w:left="1080"/>
        <w:rPr>
          <w:rFonts w:ascii="Arial" w:hAnsi="Arial" w:cs="Arial"/>
          <w:i/>
          <w:color w:val="2F5496" w:themeColor="accent5" w:themeShade="BF"/>
          <w:spacing w:val="2"/>
          <w:shd w:val="clear" w:color="auto" w:fill="FFFFFF"/>
        </w:rPr>
      </w:pPr>
    </w:p>
    <w:p w:rsidR="00CC57B3" w:rsidRPr="007871B8" w:rsidRDefault="00CC57B3" w:rsidP="00CC57B3">
      <w:pPr>
        <w:pStyle w:val="ListParagraph"/>
        <w:numPr>
          <w:ilvl w:val="0"/>
          <w:numId w:val="1"/>
        </w:numPr>
        <w:rPr>
          <w:rFonts w:ascii="Arial" w:hAnsi="Arial" w:cs="Arial"/>
          <w:color w:val="2F5496" w:themeColor="accent5" w:themeShade="BF"/>
          <w:spacing w:val="2"/>
          <w:shd w:val="clear" w:color="auto" w:fill="FFFFFF"/>
        </w:rPr>
      </w:pPr>
      <w:r w:rsidRPr="005A39EB">
        <w:rPr>
          <w:rFonts w:ascii="Arial" w:hAnsi="Arial" w:cs="Arial"/>
          <w:color w:val="202124"/>
          <w:spacing w:val="2"/>
          <w:shd w:val="clear" w:color="auto" w:fill="FFFFFF"/>
        </w:rPr>
        <w:t xml:space="preserve">List any centers and/or schools in the approved application that are </w:t>
      </w:r>
      <w:r w:rsidRPr="005A39EB">
        <w:rPr>
          <w:rFonts w:ascii="Arial" w:hAnsi="Arial" w:cs="Arial"/>
          <w:color w:val="202124"/>
          <w:spacing w:val="2"/>
          <w:u w:val="single"/>
          <w:shd w:val="clear" w:color="auto" w:fill="FFFFFF"/>
        </w:rPr>
        <w:t>not</w:t>
      </w:r>
      <w:r w:rsidRPr="005A39EB">
        <w:rPr>
          <w:rFonts w:ascii="Arial" w:hAnsi="Arial" w:cs="Arial"/>
          <w:color w:val="202124"/>
          <w:spacing w:val="2"/>
          <w:shd w:val="clear" w:color="auto" w:fill="FFFFFF"/>
        </w:rPr>
        <w:t xml:space="preserve"> going to be served </w:t>
      </w:r>
      <w:r w:rsidR="0087146A">
        <w:rPr>
          <w:rFonts w:ascii="Arial" w:hAnsi="Arial" w:cs="Arial"/>
          <w:color w:val="202124"/>
          <w:spacing w:val="2"/>
          <w:shd w:val="clear" w:color="auto" w:fill="FFFFFF"/>
        </w:rPr>
        <w:t>under this waiver by cohort.</w:t>
      </w:r>
    </w:p>
    <w:p w:rsidR="00CC57B3" w:rsidRPr="0087146A" w:rsidRDefault="00CC57B3" w:rsidP="00CC57B3">
      <w:pPr>
        <w:pStyle w:val="ListParagraph"/>
        <w:rPr>
          <w:rFonts w:ascii="Arial" w:hAnsi="Arial" w:cs="Arial"/>
          <w:color w:val="2F5496" w:themeColor="accent5" w:themeShade="BF"/>
          <w:spacing w:val="2"/>
          <w:shd w:val="clear" w:color="auto" w:fill="FFFFFF"/>
        </w:rPr>
      </w:pPr>
    </w:p>
    <w:p w:rsidR="0087146A" w:rsidRPr="0087146A" w:rsidRDefault="00CC57B3" w:rsidP="0087146A">
      <w:pPr>
        <w:pStyle w:val="ListParagraph"/>
        <w:numPr>
          <w:ilvl w:val="0"/>
          <w:numId w:val="1"/>
        </w:numPr>
        <w:rPr>
          <w:rFonts w:ascii="Arial" w:hAnsi="Arial" w:cs="Arial"/>
          <w:i/>
          <w:color w:val="2F5496" w:themeColor="accent5" w:themeShade="BF"/>
          <w:spacing w:val="2"/>
          <w:shd w:val="clear" w:color="auto" w:fill="FFFFFF"/>
        </w:rPr>
      </w:pPr>
      <w:r>
        <w:rPr>
          <w:rFonts w:ascii="Arial" w:hAnsi="Arial" w:cs="Arial"/>
          <w:color w:val="202124"/>
          <w:spacing w:val="2"/>
          <w:shd w:val="clear" w:color="auto" w:fill="FFFFFF"/>
        </w:rPr>
        <w:t xml:space="preserve">Describe the circumstances that exist in the district and schools served that create the need to offer the 21stCCLC program services during the day. </w:t>
      </w:r>
      <w:r w:rsidRPr="006121C1">
        <w:rPr>
          <w:rFonts w:ascii="Arial" w:hAnsi="Arial" w:cs="Arial"/>
          <w:color w:val="202124"/>
          <w:spacing w:val="2"/>
          <w:u w:val="single"/>
          <w:shd w:val="clear" w:color="auto" w:fill="FFFFFF"/>
        </w:rPr>
        <w:t>If the school district served is 100% in-person, use of this waiver is not indicated.</w:t>
      </w:r>
    </w:p>
    <w:p w:rsidR="0087146A" w:rsidRPr="0087146A" w:rsidRDefault="0087146A" w:rsidP="0087146A">
      <w:pPr>
        <w:pStyle w:val="ListParagraph"/>
        <w:rPr>
          <w:rFonts w:ascii="Arial" w:hAnsi="Arial" w:cs="Arial"/>
          <w:i/>
          <w:color w:val="2F5496" w:themeColor="accent5" w:themeShade="BF"/>
          <w:spacing w:val="2"/>
          <w:shd w:val="clear" w:color="auto" w:fill="FFFFFF"/>
        </w:rPr>
      </w:pPr>
    </w:p>
    <w:p w:rsidR="0087146A" w:rsidRPr="0087146A" w:rsidRDefault="0087146A" w:rsidP="0087146A">
      <w:pPr>
        <w:pStyle w:val="ListParagraph"/>
        <w:ind w:left="1080"/>
        <w:rPr>
          <w:rFonts w:ascii="Arial" w:hAnsi="Arial" w:cs="Arial"/>
          <w:i/>
          <w:color w:val="2F5496" w:themeColor="accent5" w:themeShade="BF"/>
          <w:spacing w:val="2"/>
          <w:shd w:val="clear" w:color="auto" w:fill="FFFFFF"/>
        </w:rPr>
      </w:pPr>
    </w:p>
    <w:p w:rsidR="00CC57B3" w:rsidRPr="007871B8" w:rsidRDefault="00CC57B3" w:rsidP="00CC57B3">
      <w:pPr>
        <w:pStyle w:val="ListParagraph"/>
        <w:numPr>
          <w:ilvl w:val="0"/>
          <w:numId w:val="1"/>
        </w:numPr>
        <w:rPr>
          <w:rFonts w:ascii="Arial" w:hAnsi="Arial" w:cs="Arial"/>
          <w:i/>
          <w:color w:val="2F5496" w:themeColor="accent5" w:themeShade="BF"/>
          <w:spacing w:val="2"/>
          <w:shd w:val="clear" w:color="auto" w:fill="FFFFFF"/>
        </w:rPr>
      </w:pPr>
      <w:r w:rsidRPr="005A39EB">
        <w:rPr>
          <w:rFonts w:ascii="Arial" w:hAnsi="Arial" w:cs="Arial"/>
          <w:color w:val="202124"/>
          <w:spacing w:val="2"/>
          <w:shd w:val="clear" w:color="auto" w:fill="FFFFFF"/>
        </w:rPr>
        <w:t xml:space="preserve">Describe </w:t>
      </w:r>
      <w:r>
        <w:rPr>
          <w:rFonts w:ascii="Arial" w:hAnsi="Arial" w:cs="Arial"/>
          <w:color w:val="202124"/>
          <w:spacing w:val="2"/>
          <w:shd w:val="clear" w:color="auto" w:fill="FFFFFF"/>
        </w:rPr>
        <w:t xml:space="preserve">in detail the activities at each center that will be </w:t>
      </w:r>
      <w:r w:rsidRPr="00D414CD">
        <w:rPr>
          <w:rFonts w:ascii="Arial" w:hAnsi="Arial" w:cs="Arial"/>
          <w:b/>
          <w:color w:val="202124"/>
          <w:spacing w:val="2"/>
          <w:u w:val="single"/>
          <w:shd w:val="clear" w:color="auto" w:fill="FFFFFF"/>
        </w:rPr>
        <w:t>funded</w:t>
      </w:r>
      <w:r>
        <w:rPr>
          <w:rFonts w:ascii="Arial" w:hAnsi="Arial" w:cs="Arial"/>
          <w:color w:val="202124"/>
          <w:spacing w:val="2"/>
          <w:shd w:val="clear" w:color="auto" w:fill="FFFFFF"/>
        </w:rPr>
        <w:t xml:space="preserve"> under this waiver. By center, include the times, grades served, activity description, number of staff, and other relevant adaptations needed to deliver services during the regular day.</w:t>
      </w:r>
      <w:r w:rsidRPr="005A39EB">
        <w:rPr>
          <w:rFonts w:ascii="Arial" w:hAnsi="Arial" w:cs="Arial"/>
          <w:color w:val="202124"/>
          <w:spacing w:val="2"/>
          <w:shd w:val="clear" w:color="auto" w:fill="FFFFFF"/>
        </w:rPr>
        <w:t xml:space="preserve"> </w:t>
      </w:r>
    </w:p>
    <w:p w:rsidR="00CC57B3" w:rsidRPr="007871B8" w:rsidRDefault="00CC57B3" w:rsidP="00CC57B3">
      <w:pPr>
        <w:pStyle w:val="ListParagraph"/>
        <w:ind w:left="1080"/>
        <w:rPr>
          <w:rFonts w:ascii="Arial" w:hAnsi="Arial" w:cs="Arial"/>
          <w:i/>
          <w:color w:val="2F5496" w:themeColor="accent5" w:themeShade="BF"/>
          <w:spacing w:val="2"/>
          <w:shd w:val="clear" w:color="auto" w:fill="FFFFFF"/>
        </w:rPr>
      </w:pPr>
    </w:p>
    <w:p w:rsidR="00CC57B3" w:rsidRPr="007871B8" w:rsidRDefault="00CC57B3" w:rsidP="00CC57B3">
      <w:pPr>
        <w:pStyle w:val="ListParagraph"/>
        <w:numPr>
          <w:ilvl w:val="0"/>
          <w:numId w:val="1"/>
        </w:numPr>
        <w:rPr>
          <w:rFonts w:ascii="Arial" w:hAnsi="Arial" w:cs="Arial"/>
          <w:i/>
          <w:color w:val="2F5496" w:themeColor="accent5" w:themeShade="BF"/>
          <w:spacing w:val="2"/>
          <w:shd w:val="clear" w:color="auto" w:fill="FFFFFF"/>
        </w:rPr>
      </w:pPr>
      <w:r w:rsidRPr="005A39EB">
        <w:rPr>
          <w:rFonts w:ascii="Arial" w:hAnsi="Arial" w:cs="Arial"/>
          <w:color w:val="202124"/>
          <w:spacing w:val="2"/>
          <w:shd w:val="clear" w:color="auto" w:fill="FFFFFF"/>
        </w:rPr>
        <w:t>What will be the main mode of program delivery</w:t>
      </w:r>
      <w:r>
        <w:rPr>
          <w:rFonts w:ascii="Arial" w:hAnsi="Arial" w:cs="Arial"/>
          <w:color w:val="202124"/>
          <w:spacing w:val="2"/>
          <w:shd w:val="clear" w:color="auto" w:fill="FFFFFF"/>
        </w:rPr>
        <w:t>? List by cohort and then by center:</w:t>
      </w:r>
      <w:r w:rsidRPr="005A39EB">
        <w:rPr>
          <w:rFonts w:ascii="Arial" w:hAnsi="Arial" w:cs="Arial"/>
          <w:color w:val="202124"/>
          <w:spacing w:val="2"/>
          <w:shd w:val="clear" w:color="auto" w:fill="FFFFFF"/>
        </w:rPr>
        <w:t xml:space="preserve"> vir</w:t>
      </w:r>
      <w:r>
        <w:rPr>
          <w:rFonts w:ascii="Arial" w:hAnsi="Arial" w:cs="Arial"/>
          <w:color w:val="202124"/>
          <w:spacing w:val="2"/>
          <w:shd w:val="clear" w:color="auto" w:fill="FFFFFF"/>
        </w:rPr>
        <w:t>tual (online), blended (online</w:t>
      </w:r>
      <w:r w:rsidRPr="005A39EB">
        <w:rPr>
          <w:rFonts w:ascii="Arial" w:hAnsi="Arial" w:cs="Arial"/>
          <w:color w:val="202124"/>
          <w:spacing w:val="2"/>
          <w:shd w:val="clear" w:color="auto" w:fill="FFFFFF"/>
        </w:rPr>
        <w:t xml:space="preserve">+ packets for independent learning time away from computers (aka. asynchronous learning), packets only with program recorded videos or social media posts, etc.?  </w:t>
      </w:r>
      <w:r>
        <w:rPr>
          <w:rFonts w:ascii="Arial" w:hAnsi="Arial" w:cs="Arial"/>
          <w:color w:val="202124"/>
          <w:spacing w:val="2"/>
          <w:shd w:val="clear" w:color="auto" w:fill="FFFFFF"/>
        </w:rPr>
        <w:t>Include expected</w:t>
      </w:r>
      <w:r w:rsidRPr="005A39EB">
        <w:rPr>
          <w:rFonts w:ascii="Arial" w:hAnsi="Arial" w:cs="Arial"/>
          <w:color w:val="202124"/>
          <w:spacing w:val="2"/>
          <w:shd w:val="clear" w:color="auto" w:fill="FFFFFF"/>
        </w:rPr>
        <w:t xml:space="preserve"> grade span </w:t>
      </w:r>
      <w:r>
        <w:rPr>
          <w:rFonts w:ascii="Arial" w:hAnsi="Arial" w:cs="Arial"/>
          <w:color w:val="202124"/>
          <w:spacing w:val="2"/>
          <w:shd w:val="clear" w:color="auto" w:fill="FFFFFF"/>
        </w:rPr>
        <w:t>and estimated n</w:t>
      </w:r>
      <w:r w:rsidR="0087146A">
        <w:rPr>
          <w:rFonts w:ascii="Arial" w:hAnsi="Arial" w:cs="Arial"/>
          <w:color w:val="202124"/>
          <w:spacing w:val="2"/>
          <w:shd w:val="clear" w:color="auto" w:fill="FFFFFF"/>
        </w:rPr>
        <w:t>umber of students to be served.</w:t>
      </w:r>
    </w:p>
    <w:p w:rsidR="00CC57B3" w:rsidRPr="007871B8" w:rsidRDefault="00CC57B3" w:rsidP="00CC57B3">
      <w:pPr>
        <w:pStyle w:val="ListParagraph"/>
        <w:rPr>
          <w:rFonts w:ascii="Arial" w:hAnsi="Arial" w:cs="Arial"/>
          <w:i/>
          <w:color w:val="2F5496" w:themeColor="accent5" w:themeShade="BF"/>
          <w:spacing w:val="2"/>
          <w:shd w:val="clear" w:color="auto" w:fill="FFFFFF"/>
        </w:rPr>
      </w:pPr>
    </w:p>
    <w:p w:rsidR="00B07E01" w:rsidRPr="00342C48" w:rsidRDefault="00CC57B3" w:rsidP="00B07E01">
      <w:pPr>
        <w:pStyle w:val="ListParagraph"/>
        <w:numPr>
          <w:ilvl w:val="0"/>
          <w:numId w:val="1"/>
        </w:numPr>
        <w:rPr>
          <w:rFonts w:ascii="Arial" w:hAnsi="Arial" w:cs="Arial"/>
          <w:i/>
          <w:color w:val="2F5496" w:themeColor="accent5" w:themeShade="BF"/>
          <w:spacing w:val="2"/>
          <w:shd w:val="clear" w:color="auto" w:fill="FFFFFF"/>
        </w:rPr>
      </w:pPr>
      <w:r>
        <w:rPr>
          <w:rFonts w:ascii="Arial" w:hAnsi="Arial" w:cs="Arial"/>
          <w:color w:val="202124"/>
          <w:spacing w:val="2"/>
          <w:shd w:val="clear" w:color="auto" w:fill="FFFFFF"/>
        </w:rPr>
        <w:t xml:space="preserve">Describe any changes in how the program will track attendance, recruit students including students with disabilities and students in foster care, outreach to private and home school students, and family engagement. </w:t>
      </w:r>
    </w:p>
    <w:p w:rsidR="00342C48" w:rsidRPr="00342C48" w:rsidRDefault="00342C48" w:rsidP="00342C48">
      <w:pPr>
        <w:pStyle w:val="ListParagraph"/>
        <w:rPr>
          <w:rFonts w:ascii="Arial" w:hAnsi="Arial" w:cs="Arial"/>
          <w:i/>
          <w:color w:val="2F5496" w:themeColor="accent5" w:themeShade="BF"/>
          <w:spacing w:val="2"/>
          <w:shd w:val="clear" w:color="auto" w:fill="FFFFFF"/>
        </w:rPr>
      </w:pPr>
    </w:p>
    <w:p w:rsidR="00342C48" w:rsidRPr="009C0669" w:rsidRDefault="00342C48" w:rsidP="00B07E01">
      <w:pPr>
        <w:pStyle w:val="ListParagraph"/>
        <w:numPr>
          <w:ilvl w:val="0"/>
          <w:numId w:val="1"/>
        </w:numPr>
        <w:rPr>
          <w:rFonts w:ascii="Arial" w:hAnsi="Arial" w:cs="Arial"/>
          <w:i/>
          <w:color w:val="2F5496" w:themeColor="accent5" w:themeShade="BF"/>
          <w:spacing w:val="2"/>
          <w:shd w:val="clear" w:color="auto" w:fill="FFFFFF"/>
        </w:rPr>
      </w:pPr>
      <w:r>
        <w:rPr>
          <w:rFonts w:ascii="Arial" w:hAnsi="Arial" w:cs="Arial"/>
          <w:spacing w:val="2"/>
          <w:shd w:val="clear" w:color="auto" w:fill="FFFFFF"/>
        </w:rPr>
        <w:t>What support would be helpful from the Wyoming Department of Education for your implementation of the waiver services/activities?</w:t>
      </w:r>
    </w:p>
    <w:p w:rsidR="009C0669" w:rsidRPr="009C0669" w:rsidRDefault="009C0669" w:rsidP="009C0669">
      <w:pPr>
        <w:rPr>
          <w:rFonts w:ascii="Arial" w:hAnsi="Arial" w:cs="Arial"/>
          <w:color w:val="2F5496" w:themeColor="accent5" w:themeShade="BF"/>
          <w:spacing w:val="2"/>
          <w:shd w:val="clear" w:color="auto" w:fill="FFFFFF"/>
        </w:rPr>
      </w:pPr>
      <w:bookmarkStart w:id="0" w:name="_GoBack"/>
      <w:bookmarkEnd w:id="0"/>
    </w:p>
    <w:p w:rsidR="009C0669" w:rsidRPr="009C0669" w:rsidRDefault="009C0669" w:rsidP="009C0669">
      <w:pPr>
        <w:rPr>
          <w:rFonts w:ascii="Arial" w:hAnsi="Arial" w:cs="Arial"/>
          <w:color w:val="2F5496" w:themeColor="accent5" w:themeShade="BF"/>
          <w:spacing w:val="2"/>
          <w:shd w:val="clear" w:color="auto" w:fill="FFFFFF"/>
        </w:rPr>
      </w:pPr>
    </w:p>
    <w:p w:rsidR="00CC57B3" w:rsidRPr="007871B8" w:rsidRDefault="00CC57B3" w:rsidP="00CC57B3">
      <w:pPr>
        <w:rPr>
          <w:rFonts w:ascii="Arial" w:hAnsi="Arial" w:cs="Arial"/>
          <w:sz w:val="24"/>
          <w:szCs w:val="24"/>
          <w:u w:val="single"/>
        </w:rPr>
      </w:pPr>
      <w:r w:rsidRPr="007871B8">
        <w:rPr>
          <w:rFonts w:ascii="Arial" w:hAnsi="Arial" w:cs="Arial"/>
          <w:sz w:val="24"/>
          <w:szCs w:val="24"/>
          <w:u w:val="single"/>
        </w:rPr>
        <w:lastRenderedPageBreak/>
        <w:t>Please agree to the following assurances with an “X”.</w:t>
      </w:r>
    </w:p>
    <w:p w:rsidR="00CC57B3" w:rsidRPr="00E6090C" w:rsidRDefault="00CC57B3" w:rsidP="00CC57B3">
      <w:pPr>
        <w:ind w:left="720"/>
        <w:rPr>
          <w:rFonts w:ascii="Arial" w:hAnsi="Arial" w:cs="Arial"/>
        </w:rPr>
      </w:pPr>
      <w:r w:rsidRPr="00E6090C">
        <w:rPr>
          <w:rFonts w:ascii="Arial" w:hAnsi="Arial" w:cs="Arial"/>
        </w:rPr>
        <w:t>Th</w:t>
      </w:r>
      <w:r w:rsidR="00342C48">
        <w:rPr>
          <w:rFonts w:ascii="Arial" w:hAnsi="Arial" w:cs="Arial"/>
        </w:rPr>
        <w:t>e subgrantee assures that:</w:t>
      </w:r>
    </w:p>
    <w:p w:rsidR="00CC57B3" w:rsidRPr="00E6090C" w:rsidRDefault="00CC57B3" w:rsidP="00CC57B3">
      <w:pPr>
        <w:pStyle w:val="ListParagraph"/>
        <w:numPr>
          <w:ilvl w:val="0"/>
          <w:numId w:val="2"/>
        </w:numPr>
        <w:rPr>
          <w:rFonts w:ascii="Arial" w:hAnsi="Arial" w:cs="Arial"/>
          <w:sz w:val="22"/>
          <w:szCs w:val="22"/>
        </w:rPr>
      </w:pPr>
      <w:r w:rsidRPr="00E6090C">
        <w:rPr>
          <w:rFonts w:ascii="Arial" w:hAnsi="Arial" w:cs="Arial"/>
          <w:sz w:val="22"/>
          <w:szCs w:val="22"/>
        </w:rPr>
        <w:t>programming will be provided under this waiver only when students are not receiving in-person instruction.</w:t>
      </w:r>
    </w:p>
    <w:p w:rsidR="00CC57B3" w:rsidRPr="00E6090C" w:rsidRDefault="00CC57B3" w:rsidP="00CC57B3">
      <w:pPr>
        <w:pStyle w:val="ListParagraph"/>
        <w:numPr>
          <w:ilvl w:val="0"/>
          <w:numId w:val="2"/>
        </w:numPr>
        <w:rPr>
          <w:rFonts w:ascii="Arial" w:hAnsi="Arial" w:cs="Arial"/>
          <w:sz w:val="22"/>
          <w:szCs w:val="22"/>
        </w:rPr>
      </w:pPr>
      <w:r w:rsidRPr="00E6090C">
        <w:rPr>
          <w:rFonts w:ascii="Arial" w:hAnsi="Arial" w:cs="Arial"/>
          <w:sz w:val="22"/>
          <w:szCs w:val="22"/>
        </w:rPr>
        <w:t>21st CCLC funds will be used in accordance with all other provisions of Title IV, Part B of the ESEA and all applicable regulations, program plans, and applications.</w:t>
      </w:r>
    </w:p>
    <w:p w:rsidR="00CC57B3" w:rsidRPr="00E6090C" w:rsidRDefault="00CC57B3" w:rsidP="00CC57B3">
      <w:pPr>
        <w:pStyle w:val="ListParagraph"/>
        <w:numPr>
          <w:ilvl w:val="0"/>
          <w:numId w:val="2"/>
        </w:numPr>
        <w:rPr>
          <w:rFonts w:ascii="Arial" w:hAnsi="Arial" w:cs="Arial"/>
          <w:sz w:val="22"/>
          <w:szCs w:val="22"/>
        </w:rPr>
      </w:pPr>
      <w:r w:rsidRPr="00E6090C">
        <w:rPr>
          <w:rFonts w:ascii="Arial" w:hAnsi="Arial" w:cs="Arial"/>
          <w:sz w:val="22"/>
          <w:szCs w:val="22"/>
        </w:rPr>
        <w:t>all activities provided under this waiver will supplement and not supplant services to students that are the responsibility of the school day program (ex. instructing on content, assessment facilitation, IEP services).</w:t>
      </w:r>
    </w:p>
    <w:p w:rsidR="00CC57B3" w:rsidRPr="00E6090C" w:rsidRDefault="00CC57B3" w:rsidP="00CC57B3">
      <w:pPr>
        <w:pStyle w:val="ListParagraph"/>
        <w:numPr>
          <w:ilvl w:val="0"/>
          <w:numId w:val="2"/>
        </w:numPr>
        <w:rPr>
          <w:rFonts w:ascii="Arial" w:hAnsi="Arial" w:cs="Arial"/>
          <w:sz w:val="22"/>
          <w:szCs w:val="22"/>
        </w:rPr>
      </w:pPr>
      <w:r w:rsidRPr="00E6090C">
        <w:rPr>
          <w:rFonts w:ascii="Arial" w:hAnsi="Arial" w:cs="Arial"/>
          <w:sz w:val="22"/>
          <w:szCs w:val="22"/>
        </w:rPr>
        <w:t>student attendance data related to activities under this waiver will be tracked separately from non-waiver 21stCCLC activities for reporting.</w:t>
      </w:r>
    </w:p>
    <w:p w:rsidR="00CC57B3" w:rsidRPr="00E6090C" w:rsidRDefault="00CC57B3" w:rsidP="00CC57B3">
      <w:pPr>
        <w:pStyle w:val="ListParagraph"/>
        <w:numPr>
          <w:ilvl w:val="0"/>
          <w:numId w:val="2"/>
        </w:numPr>
        <w:rPr>
          <w:rFonts w:ascii="Arial" w:hAnsi="Arial" w:cs="Arial"/>
          <w:sz w:val="22"/>
          <w:szCs w:val="22"/>
        </w:rPr>
      </w:pPr>
      <w:r w:rsidRPr="00E6090C">
        <w:rPr>
          <w:rFonts w:ascii="Arial" w:hAnsi="Arial" w:cs="Arial"/>
          <w:sz w:val="22"/>
          <w:szCs w:val="22"/>
        </w:rPr>
        <w:t>all expenditures for activities under this waiver will be tracked (by series) separately from non-waiver 21stCCLC activities for reporting.</w:t>
      </w:r>
    </w:p>
    <w:p w:rsidR="00CC57B3" w:rsidRPr="00E6090C" w:rsidRDefault="00CC57B3" w:rsidP="00CC57B3">
      <w:pPr>
        <w:pStyle w:val="ListParagraph"/>
        <w:numPr>
          <w:ilvl w:val="0"/>
          <w:numId w:val="2"/>
        </w:numPr>
        <w:rPr>
          <w:rFonts w:ascii="Arial" w:hAnsi="Arial" w:cs="Arial"/>
          <w:sz w:val="22"/>
          <w:szCs w:val="22"/>
        </w:rPr>
      </w:pPr>
      <w:r w:rsidRPr="00E6090C">
        <w:rPr>
          <w:rFonts w:ascii="Arial" w:hAnsi="Arial" w:cs="Arial"/>
          <w:sz w:val="22"/>
          <w:szCs w:val="22"/>
        </w:rPr>
        <w:t xml:space="preserve">there is a plan to disseminate information and a communication plan to interact regularly  with school administrators, teachers, parents, students and other stakeholders regarding the implementation of activities under this waiver. </w:t>
      </w:r>
    </w:p>
    <w:p w:rsidR="00CC57B3" w:rsidRPr="00342C48" w:rsidRDefault="00CC57B3" w:rsidP="00342C48">
      <w:pPr>
        <w:pStyle w:val="ListParagraph"/>
        <w:numPr>
          <w:ilvl w:val="0"/>
          <w:numId w:val="2"/>
        </w:numPr>
        <w:rPr>
          <w:rFonts w:ascii="Arial" w:hAnsi="Arial" w:cs="Arial"/>
          <w:sz w:val="22"/>
          <w:szCs w:val="22"/>
        </w:rPr>
      </w:pPr>
      <w:r w:rsidRPr="00E6090C">
        <w:rPr>
          <w:rFonts w:ascii="Arial" w:hAnsi="Arial" w:cs="Arial"/>
          <w:sz w:val="22"/>
          <w:szCs w:val="22"/>
        </w:rPr>
        <w:t>there is an acknowledgement that community-based organizations providing services to children under the age of 13 during the day may be required to obtain a child care center license through the Wyoming Department of Family Services.</w:t>
      </w:r>
    </w:p>
    <w:p w:rsidR="00CC57B3" w:rsidRDefault="00CC57B3" w:rsidP="00964A47">
      <w:pPr>
        <w:spacing w:after="0" w:line="240" w:lineRule="auto"/>
        <w:rPr>
          <w:rFonts w:ascii="Arial" w:hAnsi="Arial" w:cs="Arial"/>
        </w:rPr>
      </w:pPr>
      <w:r>
        <w:rPr>
          <w:rFonts w:ascii="Arial" w:hAnsi="Arial" w:cs="Arial"/>
        </w:rPr>
        <w:t>________</w:t>
      </w:r>
      <w:r w:rsidR="0087146A">
        <w:rPr>
          <w:rFonts w:ascii="Arial" w:hAnsi="Arial" w:cs="Arial"/>
        </w:rPr>
        <w:t>_____________________________</w:t>
      </w:r>
      <w:r w:rsidR="0087146A">
        <w:rPr>
          <w:rFonts w:ascii="Arial" w:hAnsi="Arial" w:cs="Arial"/>
        </w:rPr>
        <w:tab/>
      </w:r>
      <w:r>
        <w:rPr>
          <w:rFonts w:ascii="Arial" w:hAnsi="Arial" w:cs="Arial"/>
        </w:rPr>
        <w:t>______________________</w:t>
      </w:r>
    </w:p>
    <w:p w:rsidR="00CC57B3" w:rsidRDefault="00CC57B3" w:rsidP="00964A47">
      <w:pPr>
        <w:spacing w:after="0" w:line="240" w:lineRule="auto"/>
        <w:rPr>
          <w:rFonts w:ascii="Arial" w:hAnsi="Arial" w:cs="Arial"/>
        </w:rPr>
      </w:pPr>
      <w:r>
        <w:rPr>
          <w:rFonts w:ascii="Arial" w:hAnsi="Arial" w:cs="Arial"/>
        </w:rPr>
        <w:t>Signature of Sup</w:t>
      </w:r>
      <w:r w:rsidR="0087146A">
        <w:rPr>
          <w:rFonts w:ascii="Arial" w:hAnsi="Arial" w:cs="Arial"/>
        </w:rPr>
        <w:t>erintendent/Executive Officer</w:t>
      </w:r>
      <w:r w:rsidR="0087146A">
        <w:rPr>
          <w:rFonts w:ascii="Arial" w:hAnsi="Arial" w:cs="Arial"/>
        </w:rPr>
        <w:tab/>
      </w:r>
      <w:r>
        <w:rPr>
          <w:rFonts w:ascii="Arial" w:hAnsi="Arial" w:cs="Arial"/>
        </w:rPr>
        <w:t>Date</w:t>
      </w:r>
    </w:p>
    <w:p w:rsidR="00964A47" w:rsidRDefault="00964A47" w:rsidP="00964A47">
      <w:pPr>
        <w:spacing w:after="0" w:line="240" w:lineRule="auto"/>
        <w:rPr>
          <w:rFonts w:ascii="Arial" w:hAnsi="Arial" w:cs="Arial"/>
        </w:rPr>
      </w:pPr>
    </w:p>
    <w:p w:rsidR="00964A47" w:rsidRDefault="00964A47" w:rsidP="00964A47">
      <w:pPr>
        <w:spacing w:after="0" w:line="240" w:lineRule="auto"/>
        <w:rPr>
          <w:rFonts w:ascii="Arial" w:hAnsi="Arial" w:cs="Arial"/>
        </w:rPr>
      </w:pPr>
    </w:p>
    <w:p w:rsidR="00CC57B3" w:rsidRDefault="00CC57B3" w:rsidP="00964A47">
      <w:pPr>
        <w:spacing w:after="0"/>
        <w:rPr>
          <w:rFonts w:ascii="Arial" w:hAnsi="Arial" w:cs="Arial"/>
        </w:rPr>
      </w:pPr>
      <w:r>
        <w:rPr>
          <w:rFonts w:ascii="Arial" w:hAnsi="Arial" w:cs="Arial"/>
        </w:rPr>
        <w:t>________</w:t>
      </w:r>
      <w:r w:rsidR="0087146A">
        <w:rPr>
          <w:rFonts w:ascii="Arial" w:hAnsi="Arial" w:cs="Arial"/>
        </w:rPr>
        <w:t>_____________________________</w:t>
      </w:r>
      <w:r w:rsidR="0087146A">
        <w:rPr>
          <w:rFonts w:ascii="Arial" w:hAnsi="Arial" w:cs="Arial"/>
        </w:rPr>
        <w:tab/>
      </w:r>
      <w:r>
        <w:rPr>
          <w:rFonts w:ascii="Arial" w:hAnsi="Arial" w:cs="Arial"/>
        </w:rPr>
        <w:t>______________________</w:t>
      </w:r>
    </w:p>
    <w:p w:rsidR="00CC57B3" w:rsidRDefault="00CC57B3" w:rsidP="00964A47">
      <w:pPr>
        <w:spacing w:after="0"/>
        <w:rPr>
          <w:rFonts w:ascii="Arial" w:hAnsi="Arial" w:cs="Arial"/>
        </w:rPr>
      </w:pPr>
      <w:r>
        <w:rPr>
          <w:rFonts w:ascii="Arial" w:hAnsi="Arial" w:cs="Arial"/>
        </w:rPr>
        <w:t>Signature of Bu</w:t>
      </w:r>
      <w:r w:rsidR="0087146A">
        <w:rPr>
          <w:rFonts w:ascii="Arial" w:hAnsi="Arial" w:cs="Arial"/>
        </w:rPr>
        <w:t>siness Manager/Fiscal Officer</w:t>
      </w:r>
      <w:r w:rsidR="0087146A">
        <w:rPr>
          <w:rFonts w:ascii="Arial" w:hAnsi="Arial" w:cs="Arial"/>
        </w:rPr>
        <w:tab/>
      </w:r>
      <w:r>
        <w:rPr>
          <w:rFonts w:ascii="Arial" w:hAnsi="Arial" w:cs="Arial"/>
        </w:rPr>
        <w:t>Date</w:t>
      </w:r>
    </w:p>
    <w:p w:rsidR="00CC57B3" w:rsidRPr="00CC57B3" w:rsidRDefault="00CC57B3" w:rsidP="00CC57B3"/>
    <w:sectPr w:rsidR="00CC57B3" w:rsidRPr="00CC57B3" w:rsidSect="007871B8">
      <w:headerReference w:type="default" r:id="rId9"/>
      <w:footerReference w:type="default" r:id="rId10"/>
      <w:headerReference w:type="first" r:id="rId11"/>
      <w:footerReference w:type="first" r:id="rId12"/>
      <w:pgSz w:w="12240" w:h="15840"/>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A92" w:rsidRDefault="00B85A92" w:rsidP="00252B52">
      <w:pPr>
        <w:spacing w:after="0" w:line="240" w:lineRule="auto"/>
      </w:pPr>
      <w:r>
        <w:separator/>
      </w:r>
    </w:p>
  </w:endnote>
  <w:endnote w:type="continuationSeparator" w:id="0">
    <w:p w:rsidR="00B85A92" w:rsidRDefault="00B85A92" w:rsidP="0025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EA9" w:rsidRPr="00F76EA9" w:rsidRDefault="00F76EA9" w:rsidP="00F76EA9">
    <w:pPr>
      <w:pStyle w:val="Footer"/>
      <w:jc w:val="right"/>
      <w:rPr>
        <w:rFonts w:ascii="Arial Black" w:hAnsi="Arial Black"/>
        <w:color w:val="D9D9D9" w:themeColor="background1" w:themeShade="D9"/>
        <w:sz w:val="24"/>
        <w:szCs w:val="24"/>
      </w:rPr>
    </w:pPr>
    <w:r w:rsidRPr="00F76EA9">
      <w:rPr>
        <w:rFonts w:ascii="Arial Black" w:hAnsi="Arial Black"/>
        <w:color w:val="D9D9D9" w:themeColor="background1" w:themeShade="D9"/>
        <w:sz w:val="24"/>
        <w:szCs w:val="24"/>
      </w:rPr>
      <w:t xml:space="preserve">PAGE </w:t>
    </w:r>
    <w:r w:rsidRPr="00F76EA9">
      <w:rPr>
        <w:rFonts w:ascii="Arial Black" w:hAnsi="Arial Black"/>
        <w:color w:val="D9D9D9" w:themeColor="background1" w:themeShade="D9"/>
        <w:sz w:val="24"/>
        <w:szCs w:val="24"/>
      </w:rPr>
      <w:fldChar w:fldCharType="begin"/>
    </w:r>
    <w:r w:rsidRPr="00F76EA9">
      <w:rPr>
        <w:rFonts w:ascii="Arial Black" w:hAnsi="Arial Black"/>
        <w:color w:val="D9D9D9" w:themeColor="background1" w:themeShade="D9"/>
        <w:sz w:val="24"/>
        <w:szCs w:val="24"/>
      </w:rPr>
      <w:instrText xml:space="preserve"> PAGE   \* MERGEFORMAT </w:instrText>
    </w:r>
    <w:r w:rsidRPr="00F76EA9">
      <w:rPr>
        <w:rFonts w:ascii="Arial Black" w:hAnsi="Arial Black"/>
        <w:color w:val="D9D9D9" w:themeColor="background1" w:themeShade="D9"/>
        <w:sz w:val="24"/>
        <w:szCs w:val="24"/>
      </w:rPr>
      <w:fldChar w:fldCharType="separate"/>
    </w:r>
    <w:r w:rsidR="009C0669">
      <w:rPr>
        <w:rFonts w:ascii="Arial Black" w:hAnsi="Arial Black"/>
        <w:noProof/>
        <w:color w:val="D9D9D9" w:themeColor="background1" w:themeShade="D9"/>
        <w:sz w:val="24"/>
        <w:szCs w:val="24"/>
      </w:rPr>
      <w:t>3</w:t>
    </w:r>
    <w:r w:rsidRPr="00F76EA9">
      <w:rPr>
        <w:rFonts w:ascii="Arial Black" w:hAnsi="Arial Black"/>
        <w:noProof/>
        <w:color w:val="D9D9D9" w:themeColor="background1" w:themeShade="D9"/>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EA9" w:rsidRPr="00FC5197" w:rsidRDefault="00F76EA9" w:rsidP="00FC5197">
    <w:pPr>
      <w:pStyle w:val="BasicParagraph"/>
      <w:spacing w:before="1200"/>
      <w:rPr>
        <w:rFonts w:ascii="Arial" w:hAnsi="Arial" w:cs="Arial"/>
        <w:color w:val="BFBFBF" w:themeColor="background1" w:themeShade="BF"/>
        <w:sz w:val="20"/>
        <w:szCs w:val="20"/>
      </w:rPr>
    </w:pPr>
    <w:r w:rsidRPr="00FC5197">
      <w:rPr>
        <w:rFonts w:ascii="Arial Black" w:hAnsi="Arial Black"/>
        <w:noProof/>
        <w:color w:val="BFBFBF" w:themeColor="background1" w:themeShade="BF"/>
      </w:rPr>
      <w:drawing>
        <wp:anchor distT="0" distB="0" distL="114300" distR="114300" simplePos="0" relativeHeight="251661312" behindDoc="0" locked="0" layoutInCell="1" allowOverlap="1" wp14:anchorId="05C701FE" wp14:editId="3EA432BB">
          <wp:simplePos x="0" y="0"/>
          <wp:positionH relativeFrom="page">
            <wp:align>left</wp:align>
          </wp:positionH>
          <wp:positionV relativeFrom="page">
            <wp:posOffset>8442960</wp:posOffset>
          </wp:positionV>
          <wp:extent cx="7221220" cy="215265"/>
          <wp:effectExtent l="0" t="0" r="0" b="0"/>
          <wp:wrapNone/>
          <wp:docPr id="62" name="Picture 62" descr="Horizontal 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orizontal - Bottom Stri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1220" cy="215265"/>
                  </a:xfrm>
                  <a:prstGeom prst="rect">
                    <a:avLst/>
                  </a:prstGeom>
                </pic:spPr>
              </pic:pic>
            </a:graphicData>
          </a:graphic>
          <wp14:sizeRelH relativeFrom="margin">
            <wp14:pctWidth>0</wp14:pctWidth>
          </wp14:sizeRelH>
          <wp14:sizeRelV relativeFrom="margin">
            <wp14:pctHeight>0</wp14:pctHeight>
          </wp14:sizeRelV>
        </wp:anchor>
      </w:drawing>
    </w:r>
    <w:r w:rsidRPr="00FC5197">
      <w:rPr>
        <w:rFonts w:ascii="Arial Black" w:hAnsi="Arial Black" w:cs="Arial"/>
        <w:bCs/>
        <w:caps/>
        <w:color w:val="BFBFBF" w:themeColor="background1" w:themeShade="BF"/>
        <w:sz w:val="20"/>
        <w:szCs w:val="20"/>
      </w:rPr>
      <w:t>Cheyenne Office</w:t>
    </w:r>
    <w:r w:rsidR="0087146A">
      <w:rPr>
        <w:rFonts w:ascii="Arial" w:hAnsi="Arial" w:cs="Arial"/>
        <w:b/>
        <w:bCs/>
        <w:caps/>
        <w:color w:val="BFBFBF" w:themeColor="background1" w:themeShade="BF"/>
        <w:sz w:val="20"/>
        <w:szCs w:val="20"/>
      </w:rPr>
      <w:tab/>
    </w:r>
    <w:r w:rsidR="0087146A">
      <w:rPr>
        <w:rFonts w:ascii="Arial" w:hAnsi="Arial" w:cs="Arial"/>
        <w:b/>
        <w:bCs/>
        <w:caps/>
        <w:color w:val="BFBFBF" w:themeColor="background1" w:themeShade="BF"/>
        <w:sz w:val="20"/>
        <w:szCs w:val="20"/>
      </w:rPr>
      <w:tab/>
    </w:r>
    <w:r w:rsidRPr="00FC5197">
      <w:rPr>
        <w:rFonts w:ascii="Arial Black" w:hAnsi="Arial Black" w:cs="Arial"/>
        <w:bCs/>
        <w:caps/>
        <w:color w:val="BFBFBF" w:themeColor="background1" w:themeShade="BF"/>
        <w:sz w:val="20"/>
        <w:szCs w:val="20"/>
      </w:rPr>
      <w:t>Riverton Office</w:t>
    </w:r>
    <w:r w:rsidRPr="00FC5197">
      <w:rPr>
        <w:rFonts w:ascii="Arial" w:hAnsi="Arial" w:cs="Arial"/>
        <w:b/>
        <w:bCs/>
        <w:caps/>
        <w:color w:val="BFBFBF" w:themeColor="background1" w:themeShade="BF"/>
        <w:sz w:val="20"/>
        <w:szCs w:val="20"/>
      </w:rPr>
      <w:tab/>
    </w:r>
    <w:r w:rsidRPr="00FC5197">
      <w:rPr>
        <w:rFonts w:ascii="Arial" w:hAnsi="Arial" w:cs="Arial"/>
        <w:b/>
        <w:bCs/>
        <w:caps/>
        <w:color w:val="BFBFBF" w:themeColor="background1" w:themeShade="BF"/>
        <w:sz w:val="20"/>
        <w:szCs w:val="20"/>
      </w:rPr>
      <w:tab/>
    </w:r>
    <w:r w:rsidRPr="00FC5197">
      <w:rPr>
        <w:rFonts w:ascii="Arial Black" w:hAnsi="Arial Black" w:cs="Arial"/>
        <w:bCs/>
        <w:caps/>
        <w:color w:val="BFBFBF" w:themeColor="background1" w:themeShade="BF"/>
        <w:sz w:val="20"/>
        <w:szCs w:val="20"/>
      </w:rPr>
      <w:t>On the Web</w:t>
    </w:r>
  </w:p>
  <w:p w:rsidR="00F76EA9" w:rsidRPr="00FC5197" w:rsidRDefault="0087146A" w:rsidP="00FC5197">
    <w:pPr>
      <w:pStyle w:val="BasicParagraph"/>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122 W. 25th St. Suite E200 </w:t>
    </w:r>
    <w:r>
      <w:rPr>
        <w:rFonts w:ascii="Arial" w:hAnsi="Arial" w:cs="Arial"/>
        <w:color w:val="BFBFBF" w:themeColor="background1" w:themeShade="BF"/>
        <w:sz w:val="20"/>
        <w:szCs w:val="20"/>
      </w:rPr>
      <w:tab/>
    </w:r>
    <w:r w:rsidR="00F76EA9" w:rsidRPr="00FC5197">
      <w:rPr>
        <w:rFonts w:ascii="Arial" w:hAnsi="Arial" w:cs="Arial"/>
        <w:color w:val="BFBFBF" w:themeColor="background1" w:themeShade="BF"/>
        <w:sz w:val="20"/>
        <w:szCs w:val="20"/>
      </w:rPr>
      <w:t>320 West Main</w:t>
    </w:r>
    <w:r w:rsidR="00F76EA9" w:rsidRPr="00FC5197">
      <w:rPr>
        <w:rFonts w:ascii="Arial" w:hAnsi="Arial" w:cs="Arial"/>
        <w:color w:val="BFBFBF" w:themeColor="background1" w:themeShade="BF"/>
        <w:sz w:val="20"/>
        <w:szCs w:val="20"/>
      </w:rPr>
      <w:tab/>
    </w:r>
    <w:r w:rsidR="00F76EA9" w:rsidRPr="00FC5197">
      <w:rPr>
        <w:rFonts w:ascii="Arial" w:hAnsi="Arial" w:cs="Arial"/>
        <w:color w:val="BFBFBF" w:themeColor="background1" w:themeShade="BF"/>
        <w:sz w:val="20"/>
        <w:szCs w:val="20"/>
      </w:rPr>
      <w:tab/>
    </w:r>
    <w:r w:rsidR="00F76EA9" w:rsidRPr="00FC5197">
      <w:rPr>
        <w:rFonts w:ascii="Arial" w:hAnsi="Arial" w:cs="Arial"/>
        <w:color w:val="BFBFBF" w:themeColor="background1" w:themeShade="BF"/>
        <w:sz w:val="20"/>
        <w:szCs w:val="20"/>
      </w:rPr>
      <w:tab/>
      <w:t>edu.wyoming.gov</w:t>
    </w:r>
  </w:p>
  <w:p w:rsidR="00F76EA9" w:rsidRPr="00FC5197" w:rsidRDefault="0087146A" w:rsidP="00FC5197">
    <w:pPr>
      <w:pStyle w:val="BasicParagraph"/>
      <w:rPr>
        <w:rFonts w:ascii="Arial" w:hAnsi="Arial" w:cs="Arial"/>
        <w:color w:val="BFBFBF" w:themeColor="background1" w:themeShade="BF"/>
        <w:sz w:val="20"/>
        <w:szCs w:val="20"/>
      </w:rPr>
    </w:pPr>
    <w:r>
      <w:rPr>
        <w:rFonts w:ascii="Arial" w:hAnsi="Arial" w:cs="Arial"/>
        <w:color w:val="BFBFBF" w:themeColor="background1" w:themeShade="BF"/>
        <w:sz w:val="20"/>
        <w:szCs w:val="20"/>
      </w:rPr>
      <w:t>Cheyenne, WY 82002</w:t>
    </w:r>
    <w:r>
      <w:rPr>
        <w:rFonts w:ascii="Arial" w:hAnsi="Arial" w:cs="Arial"/>
        <w:color w:val="BFBFBF" w:themeColor="background1" w:themeShade="BF"/>
        <w:sz w:val="20"/>
        <w:szCs w:val="20"/>
      </w:rPr>
      <w:tab/>
    </w:r>
    <w:r>
      <w:rPr>
        <w:rFonts w:ascii="Arial" w:hAnsi="Arial" w:cs="Arial"/>
        <w:color w:val="BFBFBF" w:themeColor="background1" w:themeShade="BF"/>
        <w:sz w:val="20"/>
        <w:szCs w:val="20"/>
      </w:rPr>
      <w:tab/>
    </w:r>
    <w:r w:rsidR="00F76EA9" w:rsidRPr="00FC5197">
      <w:rPr>
        <w:rFonts w:ascii="Arial" w:hAnsi="Arial" w:cs="Arial"/>
        <w:color w:val="BFBFBF" w:themeColor="background1" w:themeShade="BF"/>
        <w:sz w:val="20"/>
        <w:szCs w:val="20"/>
      </w:rPr>
      <w:t>Riverton, WY 82501</w:t>
    </w:r>
    <w:r w:rsidR="00F76EA9" w:rsidRPr="00FC5197">
      <w:rPr>
        <w:rFonts w:ascii="Arial" w:hAnsi="Arial" w:cs="Arial"/>
        <w:color w:val="BFBFBF" w:themeColor="background1" w:themeShade="BF"/>
        <w:sz w:val="20"/>
        <w:szCs w:val="20"/>
      </w:rPr>
      <w:tab/>
    </w:r>
    <w:r w:rsidR="00F76EA9" w:rsidRPr="00FC5197">
      <w:rPr>
        <w:rFonts w:ascii="Arial" w:hAnsi="Arial" w:cs="Arial"/>
        <w:color w:val="BFBFBF" w:themeColor="background1" w:themeShade="BF"/>
        <w:sz w:val="20"/>
        <w:szCs w:val="20"/>
      </w:rPr>
      <w:tab/>
      <w:t>twitter.com/WYOEducation</w:t>
    </w:r>
  </w:p>
  <w:p w:rsidR="00F76EA9" w:rsidRPr="00FC5197" w:rsidRDefault="00F76EA9" w:rsidP="00F76EA9">
    <w:pPr>
      <w:pStyle w:val="BasicParagraph"/>
      <w:rPr>
        <w:rFonts w:ascii="Arial" w:hAnsi="Arial" w:cs="Arial"/>
        <w:color w:val="BFBFBF" w:themeColor="background1" w:themeShade="BF"/>
        <w:sz w:val="20"/>
        <w:szCs w:val="20"/>
      </w:rPr>
    </w:pPr>
    <w:r w:rsidRPr="00FC5197">
      <w:rPr>
        <w:rFonts w:ascii="Arial" w:hAnsi="Arial" w:cs="Arial"/>
        <w:color w:val="BFBFBF" w:themeColor="background1" w:themeShade="BF"/>
        <w:sz w:val="20"/>
        <w:szCs w:val="20"/>
      </w:rPr>
      <w:t>307-777-7675</w:t>
    </w:r>
    <w:r w:rsidR="0087146A">
      <w:rPr>
        <w:rFonts w:ascii="Arial" w:hAnsi="Arial" w:cs="Arial"/>
        <w:color w:val="BFBFBF" w:themeColor="background1" w:themeShade="BF"/>
        <w:sz w:val="20"/>
        <w:szCs w:val="20"/>
      </w:rPr>
      <w:tab/>
    </w:r>
    <w:r w:rsidR="0087146A">
      <w:rPr>
        <w:rFonts w:ascii="Arial" w:hAnsi="Arial" w:cs="Arial"/>
        <w:color w:val="BFBFBF" w:themeColor="background1" w:themeShade="BF"/>
        <w:sz w:val="20"/>
        <w:szCs w:val="20"/>
      </w:rPr>
      <w:tab/>
    </w:r>
    <w:r w:rsidRPr="00FC5197">
      <w:rPr>
        <w:rFonts w:ascii="Arial" w:hAnsi="Arial" w:cs="Arial"/>
        <w:color w:val="BFBFBF" w:themeColor="background1" w:themeShade="BF"/>
        <w:sz w:val="20"/>
        <w:szCs w:val="20"/>
      </w:rPr>
      <w:tab/>
      <w:t>307-857-9250</w:t>
    </w:r>
    <w:r w:rsidRPr="00FC5197">
      <w:rPr>
        <w:rFonts w:ascii="Arial" w:hAnsi="Arial" w:cs="Arial"/>
        <w:color w:val="BFBFBF" w:themeColor="background1" w:themeShade="BF"/>
        <w:sz w:val="20"/>
        <w:szCs w:val="20"/>
      </w:rPr>
      <w:tab/>
    </w:r>
    <w:r w:rsidRPr="00FC5197">
      <w:rPr>
        <w:rFonts w:ascii="Arial" w:hAnsi="Arial" w:cs="Arial"/>
        <w:color w:val="BFBFBF" w:themeColor="background1" w:themeShade="BF"/>
        <w:sz w:val="20"/>
        <w:szCs w:val="20"/>
      </w:rPr>
      <w:tab/>
    </w:r>
    <w:r w:rsidRPr="00FC5197">
      <w:rPr>
        <w:rFonts w:ascii="Arial" w:hAnsi="Arial" w:cs="Arial"/>
        <w:color w:val="BFBFBF" w:themeColor="background1" w:themeShade="BF"/>
        <w:sz w:val="20"/>
        <w:szCs w:val="20"/>
      </w:rPr>
      <w:tab/>
      <w:t>facebook.com/WYOEducation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A92" w:rsidRDefault="00B85A92" w:rsidP="00252B52">
      <w:pPr>
        <w:spacing w:after="0" w:line="240" w:lineRule="auto"/>
      </w:pPr>
      <w:r>
        <w:separator/>
      </w:r>
    </w:p>
  </w:footnote>
  <w:footnote w:type="continuationSeparator" w:id="0">
    <w:p w:rsidR="00B85A92" w:rsidRDefault="00B85A92" w:rsidP="00252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52" w:rsidRDefault="00252B52">
    <w:pPr>
      <w:pStyle w:val="Header"/>
    </w:pPr>
    <w:r>
      <w:rPr>
        <w:noProof/>
      </w:rPr>
      <w:drawing>
        <wp:anchor distT="0" distB="0" distL="114300" distR="114300" simplePos="0" relativeHeight="251659264" behindDoc="0" locked="0" layoutInCell="1" allowOverlap="1" wp14:anchorId="18FC90CD" wp14:editId="2C4BB787">
          <wp:simplePos x="0" y="0"/>
          <wp:positionH relativeFrom="page">
            <wp:align>right</wp:align>
          </wp:positionH>
          <wp:positionV relativeFrom="topMargin">
            <wp:align>bottom</wp:align>
          </wp:positionV>
          <wp:extent cx="6753860" cy="1285875"/>
          <wp:effectExtent l="0" t="0" r="8890" b="9525"/>
          <wp:wrapNone/>
          <wp:docPr id="60" name="Picture 60" descr="Wyoming Department of Education&#10;&#10;Jillian Balow&#10;Superintendent of Public Instruction&#10;&#10;Dicky Shanor&#10;Chief of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orizontal - Top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3860"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EA9" w:rsidRDefault="00F76EA9">
    <w:pPr>
      <w:pStyle w:val="Header"/>
    </w:pPr>
    <w:r>
      <w:rPr>
        <w:noProof/>
      </w:rPr>
      <w:drawing>
        <wp:anchor distT="0" distB="0" distL="114300" distR="114300" simplePos="0" relativeHeight="251663360" behindDoc="0" locked="0" layoutInCell="1" allowOverlap="1" wp14:anchorId="081E543D" wp14:editId="0E924B4E">
          <wp:simplePos x="0" y="0"/>
          <wp:positionH relativeFrom="page">
            <wp:posOffset>1009650</wp:posOffset>
          </wp:positionH>
          <wp:positionV relativeFrom="page">
            <wp:posOffset>285750</wp:posOffset>
          </wp:positionV>
          <wp:extent cx="6753860" cy="1285875"/>
          <wp:effectExtent l="0" t="0" r="8890" b="9525"/>
          <wp:wrapNone/>
          <wp:docPr id="61" name="Picture 61" descr="Wyoming Department of Education&#10;&#10;Jillian Balow&#10;Superintendent of Public Instruction&#10;&#10;Dicky Shanor&#10;Chief of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orizontal - Top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3860"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9592B"/>
    <w:multiLevelType w:val="hybridMultilevel"/>
    <w:tmpl w:val="E6328B92"/>
    <w:lvl w:ilvl="0" w:tplc="E81650C6">
      <w:start w:val="1"/>
      <w:numFmt w:val="bullet"/>
      <w:lvlText w:val="o"/>
      <w:lvlJc w:val="left"/>
      <w:pPr>
        <w:ind w:left="1440" w:hanging="360"/>
      </w:pPr>
      <w:rPr>
        <w:rFonts w:ascii="Courier New" w:hAnsi="Courier New" w:cs="Courier New" w:hint="default"/>
        <w:sz w:val="72"/>
        <w:szCs w:val="7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9113F8"/>
    <w:multiLevelType w:val="hybridMultilevel"/>
    <w:tmpl w:val="C0B21E5E"/>
    <w:lvl w:ilvl="0" w:tplc="C74AFD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B3"/>
    <w:rsid w:val="000A7509"/>
    <w:rsid w:val="00252B52"/>
    <w:rsid w:val="00342C48"/>
    <w:rsid w:val="007871B8"/>
    <w:rsid w:val="0087146A"/>
    <w:rsid w:val="00964A47"/>
    <w:rsid w:val="009C013D"/>
    <w:rsid w:val="009C0669"/>
    <w:rsid w:val="00AD40FE"/>
    <w:rsid w:val="00B07E01"/>
    <w:rsid w:val="00B85A92"/>
    <w:rsid w:val="00CA14B4"/>
    <w:rsid w:val="00CC57B3"/>
    <w:rsid w:val="00D2133F"/>
    <w:rsid w:val="00F75E72"/>
    <w:rsid w:val="00F76EA9"/>
    <w:rsid w:val="00FC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0CA08A-E92C-44E7-9E72-02E61468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52"/>
  </w:style>
  <w:style w:type="paragraph" w:styleId="Footer">
    <w:name w:val="footer"/>
    <w:basedOn w:val="Normal"/>
    <w:link w:val="FooterChar"/>
    <w:uiPriority w:val="99"/>
    <w:unhideWhenUsed/>
    <w:rsid w:val="00252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52"/>
  </w:style>
  <w:style w:type="paragraph" w:customStyle="1" w:styleId="BasicParagraph">
    <w:name w:val="[Basic Paragraph]"/>
    <w:basedOn w:val="Normal"/>
    <w:uiPriority w:val="99"/>
    <w:rsid w:val="00252B5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CC57B3"/>
    <w:rPr>
      <w:color w:val="0563C1" w:themeColor="hyperlink"/>
      <w:u w:val="single"/>
    </w:rPr>
  </w:style>
  <w:style w:type="paragraph" w:styleId="ListParagraph">
    <w:name w:val="List Paragraph"/>
    <w:basedOn w:val="Normal"/>
    <w:uiPriority w:val="34"/>
    <w:rsid w:val="00CC57B3"/>
    <w:pPr>
      <w:spacing w:before="40" w:after="360" w:line="240" w:lineRule="auto"/>
      <w:ind w:left="720" w:right="720"/>
      <w:contextualSpacing/>
    </w:pPr>
    <w:rPr>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ierhaus@wy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ierh\Downloads\Letterhead-Horizontal-Staff-Use-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Letterhead-Horizontal-Staff-Use-Template (4)</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Bierhaus</dc:creator>
  <cp:keywords/>
  <dc:description/>
  <cp:lastModifiedBy>Karen Bierhaus</cp:lastModifiedBy>
  <cp:revision>2</cp:revision>
  <dcterms:created xsi:type="dcterms:W3CDTF">2020-11-27T18:20:00Z</dcterms:created>
  <dcterms:modified xsi:type="dcterms:W3CDTF">2020-11-27T18:20:00Z</dcterms:modified>
</cp:coreProperties>
</file>