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4B" w:rsidRPr="00ED774B" w:rsidRDefault="00ED774B" w:rsidP="00ED774B">
      <w:pPr>
        <w:jc w:val="center"/>
        <w:rPr>
          <w:rFonts w:ascii="Arial" w:hAnsi="Arial" w:cs="Arial"/>
          <w:b/>
        </w:rPr>
      </w:pPr>
      <w:r w:rsidRPr="00ED774B">
        <w:rPr>
          <w:rFonts w:ascii="Arial" w:hAnsi="Arial" w:cs="Arial"/>
          <w:b/>
        </w:rPr>
        <w:t>Wyoming Department of Education</w:t>
      </w:r>
    </w:p>
    <w:p w:rsidR="00ED774B" w:rsidRPr="00ED774B" w:rsidRDefault="000A338A" w:rsidP="00ED7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Programs Division</w:t>
      </w:r>
    </w:p>
    <w:p w:rsidR="00ED774B" w:rsidRPr="00ED774B" w:rsidRDefault="00ED774B" w:rsidP="00ED774B">
      <w:pPr>
        <w:jc w:val="center"/>
        <w:rPr>
          <w:rFonts w:ascii="Arial" w:hAnsi="Arial" w:cs="Arial"/>
          <w:b/>
        </w:rPr>
      </w:pPr>
    </w:p>
    <w:p w:rsidR="0042644A" w:rsidRPr="00ED774B" w:rsidRDefault="00ED774B" w:rsidP="00ED774B">
      <w:pPr>
        <w:jc w:val="center"/>
        <w:rPr>
          <w:rFonts w:ascii="Arial" w:hAnsi="Arial" w:cs="Arial"/>
          <w:b/>
        </w:rPr>
      </w:pPr>
      <w:r w:rsidRPr="00ED774B">
        <w:rPr>
          <w:rFonts w:ascii="Arial" w:hAnsi="Arial" w:cs="Arial"/>
          <w:b/>
        </w:rPr>
        <w:t>Steps in Arriving at the Determinations Levels</w:t>
      </w:r>
      <w:bookmarkStart w:id="0" w:name="_GoBack"/>
      <w:bookmarkEnd w:id="0"/>
    </w:p>
    <w:p w:rsidR="00ED774B" w:rsidRPr="00ED774B" w:rsidRDefault="00542408" w:rsidP="00ED77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4534F9">
        <w:rPr>
          <w:rFonts w:ascii="Arial" w:hAnsi="Arial" w:cs="Arial"/>
        </w:rPr>
        <w:t xml:space="preserve"> 1</w:t>
      </w:r>
      <w:r w:rsidR="002571A4">
        <w:rPr>
          <w:rFonts w:ascii="Arial" w:hAnsi="Arial" w:cs="Arial"/>
        </w:rPr>
        <w:t>8</w:t>
      </w:r>
      <w:r w:rsidR="00363C7D">
        <w:rPr>
          <w:rFonts w:ascii="Arial" w:hAnsi="Arial" w:cs="Arial"/>
        </w:rPr>
        <w:t>, 20</w:t>
      </w:r>
      <w:r w:rsidR="004534F9">
        <w:rPr>
          <w:rFonts w:ascii="Arial" w:hAnsi="Arial" w:cs="Arial"/>
        </w:rPr>
        <w:t>11</w:t>
      </w:r>
    </w:p>
    <w:p w:rsidR="00ED774B" w:rsidRPr="00ED774B" w:rsidRDefault="00ED774B" w:rsidP="00ED774B">
      <w:pPr>
        <w:rPr>
          <w:rFonts w:ascii="Arial" w:hAnsi="Arial" w:cs="Arial"/>
        </w:rPr>
      </w:pPr>
    </w:p>
    <w:p w:rsidR="0042644A" w:rsidRPr="00ED774B" w:rsidRDefault="00E64FA9" w:rsidP="00ED774B">
      <w:pPr>
        <w:numPr>
          <w:ilvl w:val="0"/>
          <w:numId w:val="1"/>
        </w:numPr>
        <w:rPr>
          <w:rFonts w:ascii="Arial" w:hAnsi="Arial" w:cs="Arial"/>
        </w:rPr>
      </w:pPr>
      <w:r w:rsidRPr="00ED774B">
        <w:rPr>
          <w:rFonts w:ascii="Arial" w:hAnsi="Arial" w:cs="Arial"/>
        </w:rPr>
        <w:t xml:space="preserve">A </w:t>
      </w:r>
      <w:r w:rsidR="0042644A" w:rsidRPr="00ED774B">
        <w:rPr>
          <w:rFonts w:ascii="Arial" w:hAnsi="Arial" w:cs="Arial"/>
        </w:rPr>
        <w:t xml:space="preserve">Determinations </w:t>
      </w:r>
      <w:r w:rsidR="00011B2B">
        <w:rPr>
          <w:rFonts w:ascii="Arial" w:hAnsi="Arial" w:cs="Arial"/>
        </w:rPr>
        <w:t>“</w:t>
      </w:r>
      <w:r w:rsidR="00542408">
        <w:rPr>
          <w:rFonts w:ascii="Arial" w:hAnsi="Arial" w:cs="Arial"/>
        </w:rPr>
        <w:t>Percent</w:t>
      </w:r>
      <w:r w:rsidR="00B164EB" w:rsidRPr="00ED774B">
        <w:rPr>
          <w:rFonts w:ascii="Arial" w:hAnsi="Arial" w:cs="Arial"/>
        </w:rPr>
        <w:t xml:space="preserve"> </w:t>
      </w:r>
      <w:r w:rsidR="0042644A" w:rsidRPr="00ED774B">
        <w:rPr>
          <w:rFonts w:ascii="Arial" w:hAnsi="Arial" w:cs="Arial"/>
        </w:rPr>
        <w:t>Score”</w:t>
      </w:r>
      <w:r w:rsidRPr="00ED774B">
        <w:rPr>
          <w:rFonts w:ascii="Arial" w:hAnsi="Arial" w:cs="Arial"/>
        </w:rPr>
        <w:t xml:space="preserve"> is calculated for each district</w:t>
      </w:r>
      <w:r w:rsidR="007A7861">
        <w:rPr>
          <w:rFonts w:ascii="Arial" w:hAnsi="Arial" w:cs="Arial"/>
        </w:rPr>
        <w:t>, each of the four population cohorts,</w:t>
      </w:r>
      <w:r w:rsidR="00011B2B">
        <w:rPr>
          <w:rFonts w:ascii="Arial" w:hAnsi="Arial" w:cs="Arial"/>
        </w:rPr>
        <w:t xml:space="preserve"> and the State as a whole:</w:t>
      </w:r>
    </w:p>
    <w:p w:rsidR="0042644A" w:rsidRPr="00ED774B" w:rsidRDefault="007A7861" w:rsidP="00DB1B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644A" w:rsidRPr="00ED774B">
        <w:rPr>
          <w:rFonts w:ascii="Arial" w:hAnsi="Arial" w:cs="Arial"/>
        </w:rPr>
        <w:t xml:space="preserve"> district</w:t>
      </w:r>
      <w:r w:rsidR="00E64FA9" w:rsidRPr="00ED774B">
        <w:rPr>
          <w:rFonts w:ascii="Arial" w:hAnsi="Arial" w:cs="Arial"/>
        </w:rPr>
        <w:t>’s</w:t>
      </w:r>
      <w:r w:rsidR="0042644A" w:rsidRPr="00ED774B">
        <w:rPr>
          <w:rFonts w:ascii="Arial" w:hAnsi="Arial" w:cs="Arial"/>
        </w:rPr>
        <w:t xml:space="preserve"> </w:t>
      </w:r>
      <w:r w:rsidR="00542408">
        <w:rPr>
          <w:rFonts w:ascii="Arial" w:hAnsi="Arial" w:cs="Arial"/>
        </w:rPr>
        <w:t>Percent</w:t>
      </w:r>
      <w:r w:rsidR="00E64FA9" w:rsidRPr="00ED774B">
        <w:rPr>
          <w:rFonts w:ascii="Arial" w:hAnsi="Arial" w:cs="Arial"/>
        </w:rPr>
        <w:t xml:space="preserve"> S</w:t>
      </w:r>
      <w:r w:rsidR="0042644A" w:rsidRPr="00ED774B">
        <w:rPr>
          <w:rFonts w:ascii="Arial" w:hAnsi="Arial" w:cs="Arial"/>
        </w:rPr>
        <w:t xml:space="preserve">core is </w:t>
      </w:r>
      <w:r w:rsidR="00E80B4D">
        <w:rPr>
          <w:rFonts w:ascii="Arial" w:hAnsi="Arial" w:cs="Arial"/>
        </w:rPr>
        <w:t xml:space="preserve">(a) </w:t>
      </w:r>
      <w:r w:rsidR="0042644A" w:rsidRPr="00ED774B">
        <w:rPr>
          <w:rFonts w:ascii="Arial" w:hAnsi="Arial" w:cs="Arial"/>
        </w:rPr>
        <w:t xml:space="preserve">the sum of the </w:t>
      </w:r>
      <w:r w:rsidR="00015DEA">
        <w:rPr>
          <w:rFonts w:ascii="Arial" w:hAnsi="Arial" w:cs="Arial"/>
        </w:rPr>
        <w:t>it</w:t>
      </w:r>
      <w:r w:rsidR="0042644A" w:rsidRPr="00ED774B">
        <w:rPr>
          <w:rFonts w:ascii="Arial" w:hAnsi="Arial" w:cs="Arial"/>
        </w:rPr>
        <w:t>s scores on Indicators 1, 2, 3b</w:t>
      </w:r>
      <w:r w:rsidR="004534F9">
        <w:rPr>
          <w:rFonts w:ascii="Arial" w:hAnsi="Arial" w:cs="Arial"/>
        </w:rPr>
        <w:t xml:space="preserve"> (for both math and reading)</w:t>
      </w:r>
      <w:r w:rsidR="0042644A" w:rsidRPr="00ED774B">
        <w:rPr>
          <w:rFonts w:ascii="Arial" w:hAnsi="Arial" w:cs="Arial"/>
        </w:rPr>
        <w:t>, 3c</w:t>
      </w:r>
      <w:r w:rsidR="004534F9">
        <w:rPr>
          <w:rFonts w:ascii="Arial" w:hAnsi="Arial" w:cs="Arial"/>
        </w:rPr>
        <w:t xml:space="preserve"> (for both math and reading)</w:t>
      </w:r>
      <w:r w:rsidR="0042644A" w:rsidRPr="00ED774B">
        <w:rPr>
          <w:rFonts w:ascii="Arial" w:hAnsi="Arial" w:cs="Arial"/>
        </w:rPr>
        <w:t xml:space="preserve">, 5a, 5b, 5c, </w:t>
      </w:r>
      <w:r w:rsidR="00363C7D">
        <w:rPr>
          <w:rFonts w:ascii="Arial" w:hAnsi="Arial" w:cs="Arial"/>
        </w:rPr>
        <w:t xml:space="preserve">8, </w:t>
      </w:r>
      <w:r w:rsidR="00011B2B">
        <w:rPr>
          <w:rFonts w:ascii="Arial" w:hAnsi="Arial" w:cs="Arial"/>
        </w:rPr>
        <w:t xml:space="preserve">9, 10, </w:t>
      </w:r>
      <w:r w:rsidR="0042644A" w:rsidRPr="00ED774B">
        <w:rPr>
          <w:rFonts w:ascii="Arial" w:hAnsi="Arial" w:cs="Arial"/>
        </w:rPr>
        <w:t>11</w:t>
      </w:r>
      <w:r w:rsidR="00363C7D">
        <w:rPr>
          <w:rFonts w:ascii="Arial" w:hAnsi="Arial" w:cs="Arial"/>
        </w:rPr>
        <w:t xml:space="preserve">, </w:t>
      </w:r>
      <w:r w:rsidR="004534F9">
        <w:rPr>
          <w:rFonts w:ascii="Arial" w:hAnsi="Arial" w:cs="Arial"/>
        </w:rPr>
        <w:t xml:space="preserve">13, </w:t>
      </w:r>
      <w:r w:rsidR="00363C7D">
        <w:rPr>
          <w:rFonts w:ascii="Arial" w:hAnsi="Arial" w:cs="Arial"/>
        </w:rPr>
        <w:t>1</w:t>
      </w:r>
      <w:r w:rsidR="00442DF8">
        <w:rPr>
          <w:rFonts w:ascii="Arial" w:hAnsi="Arial" w:cs="Arial"/>
        </w:rPr>
        <w:t>4</w:t>
      </w:r>
      <w:r w:rsidR="00363C7D">
        <w:rPr>
          <w:rFonts w:ascii="Arial" w:hAnsi="Arial" w:cs="Arial"/>
        </w:rPr>
        <w:t>,</w:t>
      </w:r>
      <w:r w:rsidR="0042644A" w:rsidRPr="00ED774B">
        <w:rPr>
          <w:rFonts w:ascii="Arial" w:hAnsi="Arial" w:cs="Arial"/>
        </w:rPr>
        <w:t xml:space="preserve"> 20</w:t>
      </w:r>
      <w:r w:rsidR="00011B2B">
        <w:rPr>
          <w:rFonts w:ascii="Arial" w:hAnsi="Arial" w:cs="Arial"/>
        </w:rPr>
        <w:t>a, and 20b</w:t>
      </w:r>
      <w:r w:rsidR="00E80B4D">
        <w:rPr>
          <w:rFonts w:ascii="Arial" w:hAnsi="Arial" w:cs="Arial"/>
        </w:rPr>
        <w:t xml:space="preserve"> (b) divided by the sum of the target scores on these indicators</w:t>
      </w:r>
      <w:r w:rsidR="00ED774B" w:rsidRPr="00ED774B">
        <w:rPr>
          <w:rFonts w:ascii="Arial" w:hAnsi="Arial" w:cs="Arial"/>
        </w:rPr>
        <w:t xml:space="preserve">.  </w:t>
      </w:r>
    </w:p>
    <w:p w:rsidR="00B164EB" w:rsidRDefault="0042644A" w:rsidP="00042FC4">
      <w:pPr>
        <w:numPr>
          <w:ilvl w:val="2"/>
          <w:numId w:val="1"/>
        </w:numPr>
        <w:rPr>
          <w:rFonts w:ascii="Arial" w:hAnsi="Arial" w:cs="Arial"/>
        </w:rPr>
      </w:pPr>
      <w:r w:rsidRPr="00ED774B">
        <w:rPr>
          <w:rFonts w:ascii="Arial" w:hAnsi="Arial" w:cs="Arial"/>
        </w:rPr>
        <w:t>Indicators 2</w:t>
      </w:r>
      <w:r w:rsidR="00363C7D">
        <w:rPr>
          <w:rFonts w:ascii="Arial" w:hAnsi="Arial" w:cs="Arial"/>
        </w:rPr>
        <w:t>, 5b,</w:t>
      </w:r>
      <w:r w:rsidRPr="00ED774B">
        <w:rPr>
          <w:rFonts w:ascii="Arial" w:hAnsi="Arial" w:cs="Arial"/>
        </w:rPr>
        <w:t xml:space="preserve"> and 5c are “reversed-score</w:t>
      </w:r>
      <w:r w:rsidR="00E80B4D">
        <w:rPr>
          <w:rFonts w:ascii="Arial" w:hAnsi="Arial" w:cs="Arial"/>
        </w:rPr>
        <w:t>d</w:t>
      </w:r>
      <w:r w:rsidRPr="00ED774B">
        <w:rPr>
          <w:rFonts w:ascii="Arial" w:hAnsi="Arial" w:cs="Arial"/>
        </w:rPr>
        <w:t>” because for these indicators</w:t>
      </w:r>
      <w:r w:rsidR="006D1D89">
        <w:rPr>
          <w:rFonts w:ascii="Arial" w:hAnsi="Arial" w:cs="Arial"/>
        </w:rPr>
        <w:t>,</w:t>
      </w:r>
      <w:r w:rsidRPr="00ED774B">
        <w:rPr>
          <w:rFonts w:ascii="Arial" w:hAnsi="Arial" w:cs="Arial"/>
        </w:rPr>
        <w:t xml:space="preserve"> a lower score is better than a higher score.</w:t>
      </w:r>
      <w:r w:rsidR="00B164EB" w:rsidRPr="00ED774B">
        <w:rPr>
          <w:rFonts w:ascii="Arial" w:hAnsi="Arial" w:cs="Arial"/>
        </w:rPr>
        <w:t xml:space="preserve">  For example</w:t>
      </w:r>
      <w:r w:rsidR="007A7861">
        <w:rPr>
          <w:rFonts w:ascii="Arial" w:hAnsi="Arial" w:cs="Arial"/>
        </w:rPr>
        <w:t>,</w:t>
      </w:r>
      <w:r w:rsidR="00B164EB" w:rsidRPr="00ED774B">
        <w:rPr>
          <w:rFonts w:ascii="Arial" w:hAnsi="Arial" w:cs="Arial"/>
        </w:rPr>
        <w:t xml:space="preserve"> if </w:t>
      </w:r>
      <w:r w:rsidR="007A7861">
        <w:rPr>
          <w:rFonts w:ascii="Arial" w:hAnsi="Arial" w:cs="Arial"/>
        </w:rPr>
        <w:t>a</w:t>
      </w:r>
      <w:r w:rsidR="00B164EB" w:rsidRPr="00ED774B">
        <w:rPr>
          <w:rFonts w:ascii="Arial" w:hAnsi="Arial" w:cs="Arial"/>
        </w:rPr>
        <w:t xml:space="preserve"> district’s indicator 2 (</w:t>
      </w:r>
      <w:r w:rsidR="00B177E3">
        <w:rPr>
          <w:rFonts w:ascii="Arial" w:hAnsi="Arial" w:cs="Arial"/>
        </w:rPr>
        <w:t>drop-out rate) score is 10%,</w:t>
      </w:r>
      <w:r w:rsidR="00026F21">
        <w:rPr>
          <w:rFonts w:ascii="Arial" w:hAnsi="Arial" w:cs="Arial"/>
        </w:rPr>
        <w:t xml:space="preserve"> it</w:t>
      </w:r>
      <w:r w:rsidR="00B164EB" w:rsidRPr="00ED774B">
        <w:rPr>
          <w:rFonts w:ascii="Arial" w:hAnsi="Arial" w:cs="Arial"/>
        </w:rPr>
        <w:t>s score for t</w:t>
      </w:r>
      <w:r w:rsidR="00B177E3">
        <w:rPr>
          <w:rFonts w:ascii="Arial" w:hAnsi="Arial" w:cs="Arial"/>
        </w:rPr>
        <w:t>hat</w:t>
      </w:r>
      <w:r w:rsidR="00B164EB" w:rsidRPr="00ED774B">
        <w:rPr>
          <w:rFonts w:ascii="Arial" w:hAnsi="Arial" w:cs="Arial"/>
        </w:rPr>
        <w:t xml:space="preserve"> </w:t>
      </w:r>
      <w:r w:rsidR="00B177E3">
        <w:rPr>
          <w:rFonts w:ascii="Arial" w:hAnsi="Arial" w:cs="Arial"/>
        </w:rPr>
        <w:t>item</w:t>
      </w:r>
      <w:r w:rsidR="00B164EB" w:rsidRPr="00ED774B">
        <w:rPr>
          <w:rFonts w:ascii="Arial" w:hAnsi="Arial" w:cs="Arial"/>
        </w:rPr>
        <w:t xml:space="preserve"> is 1</w:t>
      </w:r>
      <w:r w:rsidR="00363C7D">
        <w:rPr>
          <w:rFonts w:ascii="Arial" w:hAnsi="Arial" w:cs="Arial"/>
        </w:rPr>
        <w:t>00%</w:t>
      </w:r>
      <w:r w:rsidR="00634E55">
        <w:rPr>
          <w:rFonts w:ascii="Arial" w:hAnsi="Arial" w:cs="Arial"/>
        </w:rPr>
        <w:t xml:space="preserve">-10% or </w:t>
      </w:r>
      <w:r w:rsidR="00E80B4D">
        <w:rPr>
          <w:rFonts w:ascii="Arial" w:hAnsi="Arial" w:cs="Arial"/>
        </w:rPr>
        <w:t>90% (</w:t>
      </w:r>
      <w:r w:rsidR="00634E55">
        <w:rPr>
          <w:rFonts w:ascii="Arial" w:hAnsi="Arial" w:cs="Arial"/>
        </w:rPr>
        <w:t>0.9</w:t>
      </w:r>
      <w:r w:rsidR="007A7861">
        <w:rPr>
          <w:rFonts w:ascii="Arial" w:hAnsi="Arial" w:cs="Arial"/>
        </w:rPr>
        <w:t xml:space="preserve"> points</w:t>
      </w:r>
      <w:r w:rsidR="00E80B4D">
        <w:rPr>
          <w:rFonts w:ascii="Arial" w:hAnsi="Arial" w:cs="Arial"/>
        </w:rPr>
        <w:t>)</w:t>
      </w:r>
      <w:r w:rsidR="00B164EB" w:rsidRPr="00ED774B">
        <w:rPr>
          <w:rFonts w:ascii="Arial" w:hAnsi="Arial" w:cs="Arial"/>
        </w:rPr>
        <w:t>.</w:t>
      </w:r>
    </w:p>
    <w:p w:rsidR="000A338A" w:rsidRDefault="000A338A" w:rsidP="00042FC4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district’s Indicator 13 score is its “raw” score </w:t>
      </w:r>
      <w:r w:rsidR="00E80B4D">
        <w:rPr>
          <w:rFonts w:ascii="Arial" w:hAnsi="Arial" w:cs="Arial"/>
        </w:rPr>
        <w:t xml:space="preserve">before correction </w:t>
      </w:r>
      <w:r>
        <w:rPr>
          <w:rFonts w:ascii="Arial" w:hAnsi="Arial" w:cs="Arial"/>
        </w:rPr>
        <w:t xml:space="preserve">based on the WDE’s transition file review (for FFY 2009, conducted in the spring of 2010).  </w:t>
      </w:r>
    </w:p>
    <w:p w:rsidR="006D1D89" w:rsidRDefault="007A7861" w:rsidP="006D1D89">
      <w:pPr>
        <w:numPr>
          <w:ilvl w:val="1"/>
          <w:numId w:val="1"/>
        </w:numPr>
        <w:rPr>
          <w:rFonts w:ascii="Arial" w:hAnsi="Arial" w:cs="Arial"/>
        </w:rPr>
      </w:pPr>
      <w:r w:rsidRPr="00E80B4D">
        <w:rPr>
          <w:rFonts w:ascii="Arial" w:hAnsi="Arial" w:cs="Arial"/>
        </w:rPr>
        <w:t xml:space="preserve">The highest possible </w:t>
      </w:r>
      <w:r w:rsidR="00E80B4D">
        <w:rPr>
          <w:rFonts w:ascii="Arial" w:hAnsi="Arial" w:cs="Arial"/>
        </w:rPr>
        <w:t xml:space="preserve">point </w:t>
      </w:r>
      <w:r w:rsidR="00E80B4D" w:rsidRPr="00E80B4D">
        <w:rPr>
          <w:rFonts w:ascii="Arial" w:hAnsi="Arial" w:cs="Arial"/>
        </w:rPr>
        <w:t xml:space="preserve">score a district could receive is 17.00.  This would occur if a district received a 100% score on each of the 17 indicators.  The sum of the target scores on these 17 indicators is 14.1936.  Thus, if a district </w:t>
      </w:r>
      <w:r w:rsidR="00E80B4D">
        <w:rPr>
          <w:rFonts w:ascii="Arial" w:hAnsi="Arial" w:cs="Arial"/>
        </w:rPr>
        <w:t>scored the highest possible on each indicator,</w:t>
      </w:r>
      <w:r w:rsidR="00E80B4D" w:rsidRPr="00E80B4D">
        <w:rPr>
          <w:rFonts w:ascii="Arial" w:hAnsi="Arial" w:cs="Arial"/>
        </w:rPr>
        <w:t xml:space="preserve"> their Percent Score would be 119.77% (17.00/14.1936).  If a district scored at the target for each of the indicators its Percent Score would be 100% (14.1936/14.1936).  </w:t>
      </w:r>
    </w:p>
    <w:p w:rsidR="006D1D89" w:rsidRDefault="006D1D89" w:rsidP="006D1D8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 1: For those districts that did not have a score for Indicators 1, 11, 13, 14 and/or 20b due to the fact that they had no students that met the selection for these indicators (e.g., not having any exiting high school students in a given year), then their score is based on only those indicators for which they do have a score.  Their percent score is the revised district score divided by the revised target score (both of which are based on only those indicators for which the district had a score.)</w:t>
      </w:r>
    </w:p>
    <w:p w:rsidR="006D1D89" w:rsidRDefault="006D1D89" w:rsidP="006D1D8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2: For those districts that had fewer than six respondents for indicators 8 and 14, the state score was substituted for the district score.  </w:t>
      </w:r>
    </w:p>
    <w:p w:rsidR="006D1D89" w:rsidRPr="006D1D89" w:rsidRDefault="006D1D89" w:rsidP="006D1D8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D1D89">
        <w:rPr>
          <w:rFonts w:ascii="Arial" w:hAnsi="Arial" w:cs="Arial"/>
        </w:rPr>
        <w:t>ach district’s Percent Score is evaluated according to the following criteria:</w:t>
      </w:r>
    </w:p>
    <w:p w:rsidR="00804C1A" w:rsidRPr="00ED774B" w:rsidRDefault="00804C1A" w:rsidP="006D1D89">
      <w:pPr>
        <w:numPr>
          <w:ilvl w:val="2"/>
          <w:numId w:val="1"/>
        </w:numPr>
        <w:rPr>
          <w:rFonts w:ascii="Arial" w:hAnsi="Arial" w:cs="Arial"/>
        </w:rPr>
      </w:pPr>
      <w:r w:rsidRPr="00ED774B">
        <w:rPr>
          <w:rFonts w:ascii="Arial" w:hAnsi="Arial" w:cs="Arial"/>
        </w:rPr>
        <w:t xml:space="preserve">If </w:t>
      </w:r>
      <w:r w:rsidR="006D1D89">
        <w:rPr>
          <w:rFonts w:ascii="Arial" w:hAnsi="Arial" w:cs="Arial"/>
        </w:rPr>
        <w:t>a</w:t>
      </w:r>
      <w:r w:rsidRPr="00ED774B">
        <w:rPr>
          <w:rFonts w:ascii="Arial" w:hAnsi="Arial" w:cs="Arial"/>
        </w:rPr>
        <w:t xml:space="preserve"> district’s </w:t>
      </w:r>
      <w:r w:rsidR="00542408">
        <w:rPr>
          <w:rFonts w:ascii="Arial" w:hAnsi="Arial" w:cs="Arial"/>
        </w:rPr>
        <w:t>Percent</w:t>
      </w:r>
      <w:r w:rsidRPr="00ED774B">
        <w:rPr>
          <w:rFonts w:ascii="Arial" w:hAnsi="Arial" w:cs="Arial"/>
        </w:rPr>
        <w:t xml:space="preserve"> Score </w:t>
      </w:r>
      <w:r w:rsidR="00644693">
        <w:rPr>
          <w:rFonts w:ascii="Arial" w:hAnsi="Arial" w:cs="Arial"/>
        </w:rPr>
        <w:t xml:space="preserve">is </w:t>
      </w:r>
      <w:r w:rsidR="00542408">
        <w:rPr>
          <w:rFonts w:ascii="Arial" w:hAnsi="Arial" w:cs="Arial"/>
        </w:rPr>
        <w:t>100%</w:t>
      </w:r>
      <w:r w:rsidR="00644693">
        <w:rPr>
          <w:rFonts w:ascii="Arial" w:hAnsi="Arial" w:cs="Arial"/>
        </w:rPr>
        <w:t xml:space="preserve"> or higher</w:t>
      </w:r>
      <w:r w:rsidR="00715B9F">
        <w:rPr>
          <w:rFonts w:ascii="Arial" w:hAnsi="Arial" w:cs="Arial"/>
        </w:rPr>
        <w:t xml:space="preserve"> (met or exceeded the state target total)</w:t>
      </w:r>
      <w:r w:rsidR="00644693">
        <w:rPr>
          <w:rFonts w:ascii="Arial" w:hAnsi="Arial" w:cs="Arial"/>
        </w:rPr>
        <w:t>, t</w:t>
      </w:r>
      <w:r w:rsidRPr="00ED774B">
        <w:rPr>
          <w:rFonts w:ascii="Arial" w:hAnsi="Arial" w:cs="Arial"/>
        </w:rPr>
        <w:t xml:space="preserve">hen the district </w:t>
      </w:r>
      <w:r w:rsidRPr="00ED774B">
        <w:rPr>
          <w:rFonts w:ascii="Arial" w:hAnsi="Arial" w:cs="Arial"/>
          <w:i/>
        </w:rPr>
        <w:t>Meets Requirements</w:t>
      </w:r>
      <w:r w:rsidRPr="00ED774B">
        <w:rPr>
          <w:rFonts w:ascii="Arial" w:hAnsi="Arial" w:cs="Arial"/>
        </w:rPr>
        <w:t xml:space="preserve"> (providing no special circumstances).</w:t>
      </w:r>
    </w:p>
    <w:p w:rsidR="00804C1A" w:rsidRPr="00ED774B" w:rsidRDefault="00ED774B" w:rsidP="006D1D89">
      <w:pPr>
        <w:numPr>
          <w:ilvl w:val="2"/>
          <w:numId w:val="1"/>
        </w:numPr>
        <w:rPr>
          <w:rFonts w:ascii="Arial" w:hAnsi="Arial" w:cs="Arial"/>
        </w:rPr>
      </w:pPr>
      <w:r w:rsidRPr="00ED774B">
        <w:rPr>
          <w:rFonts w:ascii="Arial" w:hAnsi="Arial" w:cs="Arial"/>
        </w:rPr>
        <w:t>If</w:t>
      </w:r>
      <w:r w:rsidR="00644693">
        <w:rPr>
          <w:rFonts w:ascii="Arial" w:hAnsi="Arial" w:cs="Arial"/>
        </w:rPr>
        <w:t xml:space="preserve"> the district’s </w:t>
      </w:r>
      <w:r w:rsidR="00542408">
        <w:rPr>
          <w:rFonts w:ascii="Arial" w:hAnsi="Arial" w:cs="Arial"/>
        </w:rPr>
        <w:t>Percent</w:t>
      </w:r>
      <w:r w:rsidR="00644693">
        <w:rPr>
          <w:rFonts w:ascii="Arial" w:hAnsi="Arial" w:cs="Arial"/>
        </w:rPr>
        <w:t xml:space="preserve"> Score is </w:t>
      </w:r>
      <w:r w:rsidR="00542408">
        <w:rPr>
          <w:rFonts w:ascii="Arial" w:hAnsi="Arial" w:cs="Arial"/>
        </w:rPr>
        <w:t>99.9%</w:t>
      </w:r>
      <w:r w:rsidR="000A338A">
        <w:rPr>
          <w:rFonts w:ascii="Arial" w:hAnsi="Arial" w:cs="Arial"/>
        </w:rPr>
        <w:t xml:space="preserve"> – </w:t>
      </w:r>
      <w:r w:rsidR="00542408">
        <w:rPr>
          <w:rFonts w:ascii="Arial" w:hAnsi="Arial" w:cs="Arial"/>
        </w:rPr>
        <w:t>93</w:t>
      </w:r>
      <w:r w:rsidR="00E80B4D">
        <w:rPr>
          <w:rFonts w:ascii="Arial" w:hAnsi="Arial" w:cs="Arial"/>
        </w:rPr>
        <w:t>.0</w:t>
      </w:r>
      <w:r w:rsidR="00542408">
        <w:rPr>
          <w:rFonts w:ascii="Arial" w:hAnsi="Arial" w:cs="Arial"/>
        </w:rPr>
        <w:t>%</w:t>
      </w:r>
      <w:r w:rsidR="00181B4F">
        <w:rPr>
          <w:rFonts w:ascii="Arial" w:hAnsi="Arial" w:cs="Arial"/>
        </w:rPr>
        <w:t>,</w:t>
      </w:r>
      <w:r w:rsidRPr="00ED774B">
        <w:rPr>
          <w:rFonts w:ascii="Arial" w:hAnsi="Arial" w:cs="Arial"/>
        </w:rPr>
        <w:t xml:space="preserve"> then the district </w:t>
      </w:r>
      <w:r w:rsidR="00804C1A" w:rsidRPr="00ED774B">
        <w:rPr>
          <w:rFonts w:ascii="Arial" w:hAnsi="Arial" w:cs="Arial"/>
          <w:i/>
        </w:rPr>
        <w:t>Needs Assistance</w:t>
      </w:r>
      <w:r w:rsidR="00B428A5">
        <w:rPr>
          <w:rFonts w:ascii="Arial" w:hAnsi="Arial" w:cs="Arial"/>
          <w:i/>
        </w:rPr>
        <w:t xml:space="preserve"> </w:t>
      </w:r>
      <w:r w:rsidR="00B428A5" w:rsidRPr="00ED774B">
        <w:rPr>
          <w:rFonts w:ascii="Arial" w:hAnsi="Arial" w:cs="Arial"/>
        </w:rPr>
        <w:t>(providing no special circumstances)</w:t>
      </w:r>
      <w:r w:rsidRPr="00ED774B">
        <w:rPr>
          <w:rFonts w:ascii="Arial" w:hAnsi="Arial" w:cs="Arial"/>
        </w:rPr>
        <w:t>.</w:t>
      </w:r>
    </w:p>
    <w:p w:rsidR="00ED774B" w:rsidRPr="00ED774B" w:rsidRDefault="00B177E3" w:rsidP="006D1D8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a</w:t>
      </w:r>
      <w:r w:rsidR="00ED774B" w:rsidRPr="00ED774B">
        <w:rPr>
          <w:rFonts w:ascii="Arial" w:hAnsi="Arial" w:cs="Arial"/>
        </w:rPr>
        <w:t xml:space="preserve"> district’s Total Score is </w:t>
      </w:r>
      <w:r w:rsidR="00542408">
        <w:rPr>
          <w:rFonts w:ascii="Arial" w:hAnsi="Arial" w:cs="Arial"/>
        </w:rPr>
        <w:t>92.9%</w:t>
      </w:r>
      <w:r w:rsidR="00181B4F">
        <w:rPr>
          <w:rFonts w:ascii="Arial" w:hAnsi="Arial" w:cs="Arial"/>
        </w:rPr>
        <w:t xml:space="preserve"> – </w:t>
      </w:r>
      <w:r w:rsidR="00542408">
        <w:rPr>
          <w:rFonts w:ascii="Arial" w:hAnsi="Arial" w:cs="Arial"/>
        </w:rPr>
        <w:t>83</w:t>
      </w:r>
      <w:r w:rsidR="00E80B4D">
        <w:rPr>
          <w:rFonts w:ascii="Arial" w:hAnsi="Arial" w:cs="Arial"/>
        </w:rPr>
        <w:t>.0</w:t>
      </w:r>
      <w:r w:rsidR="00542408">
        <w:rPr>
          <w:rFonts w:ascii="Arial" w:hAnsi="Arial" w:cs="Arial"/>
        </w:rPr>
        <w:t>%</w:t>
      </w:r>
      <w:r w:rsidR="00181B4F">
        <w:rPr>
          <w:rFonts w:ascii="Arial" w:hAnsi="Arial" w:cs="Arial"/>
        </w:rPr>
        <w:t xml:space="preserve">, </w:t>
      </w:r>
      <w:r w:rsidR="00ED774B" w:rsidRPr="00ED774B">
        <w:rPr>
          <w:rFonts w:ascii="Arial" w:hAnsi="Arial" w:cs="Arial"/>
        </w:rPr>
        <w:t xml:space="preserve">then the district </w:t>
      </w:r>
      <w:r w:rsidR="00ED774B" w:rsidRPr="00ED774B">
        <w:rPr>
          <w:rFonts w:ascii="Arial" w:hAnsi="Arial" w:cs="Arial"/>
          <w:i/>
        </w:rPr>
        <w:t>Needs Intervention</w:t>
      </w:r>
      <w:r w:rsidR="00B428A5">
        <w:rPr>
          <w:rFonts w:ascii="Arial" w:hAnsi="Arial" w:cs="Arial"/>
          <w:i/>
        </w:rPr>
        <w:t xml:space="preserve"> </w:t>
      </w:r>
      <w:r w:rsidR="00B428A5" w:rsidRPr="00ED774B">
        <w:rPr>
          <w:rFonts w:ascii="Arial" w:hAnsi="Arial" w:cs="Arial"/>
        </w:rPr>
        <w:t>(providing no special circumstances)</w:t>
      </w:r>
      <w:r w:rsidR="00ED774B" w:rsidRPr="00ED774B">
        <w:rPr>
          <w:rFonts w:ascii="Arial" w:hAnsi="Arial" w:cs="Arial"/>
        </w:rPr>
        <w:t>.</w:t>
      </w:r>
    </w:p>
    <w:p w:rsidR="00ED774B" w:rsidRPr="00181B4F" w:rsidRDefault="00ED774B" w:rsidP="006D1D89">
      <w:pPr>
        <w:numPr>
          <w:ilvl w:val="2"/>
          <w:numId w:val="1"/>
        </w:numPr>
        <w:rPr>
          <w:rFonts w:ascii="Arial" w:hAnsi="Arial" w:cs="Arial"/>
        </w:rPr>
      </w:pPr>
      <w:r w:rsidRPr="00181B4F">
        <w:rPr>
          <w:rFonts w:ascii="Arial" w:hAnsi="Arial" w:cs="Arial"/>
        </w:rPr>
        <w:t xml:space="preserve">If </w:t>
      </w:r>
      <w:r w:rsidR="00B177E3">
        <w:rPr>
          <w:rFonts w:ascii="Arial" w:hAnsi="Arial" w:cs="Arial"/>
        </w:rPr>
        <w:t>a</w:t>
      </w:r>
      <w:r w:rsidRPr="00181B4F">
        <w:rPr>
          <w:rFonts w:ascii="Arial" w:hAnsi="Arial" w:cs="Arial"/>
        </w:rPr>
        <w:t xml:space="preserve"> d</w:t>
      </w:r>
      <w:r w:rsidR="00644693" w:rsidRPr="00181B4F">
        <w:rPr>
          <w:rFonts w:ascii="Arial" w:hAnsi="Arial" w:cs="Arial"/>
        </w:rPr>
        <w:t xml:space="preserve">istrict’s Total Score is </w:t>
      </w:r>
      <w:r w:rsidR="00181B4F" w:rsidRPr="00181B4F">
        <w:rPr>
          <w:rFonts w:ascii="Arial" w:hAnsi="Arial" w:cs="Arial"/>
        </w:rPr>
        <w:t xml:space="preserve">less than </w:t>
      </w:r>
      <w:r w:rsidR="00542408">
        <w:rPr>
          <w:rFonts w:ascii="Arial" w:hAnsi="Arial" w:cs="Arial"/>
        </w:rPr>
        <w:t>83%</w:t>
      </w:r>
      <w:r w:rsidR="00181B4F" w:rsidRPr="00181B4F">
        <w:rPr>
          <w:rFonts w:ascii="Arial" w:hAnsi="Arial" w:cs="Arial"/>
        </w:rPr>
        <w:t xml:space="preserve">, </w:t>
      </w:r>
      <w:r w:rsidR="00181B4F">
        <w:rPr>
          <w:rFonts w:ascii="Arial" w:hAnsi="Arial" w:cs="Arial"/>
        </w:rPr>
        <w:t xml:space="preserve">then </w:t>
      </w:r>
      <w:r w:rsidRPr="00181B4F">
        <w:rPr>
          <w:rFonts w:ascii="Arial" w:hAnsi="Arial" w:cs="Arial"/>
        </w:rPr>
        <w:t>the district</w:t>
      </w:r>
      <w:r w:rsidR="00804C1A" w:rsidRPr="00181B4F">
        <w:rPr>
          <w:rFonts w:ascii="Arial" w:hAnsi="Arial" w:cs="Arial"/>
        </w:rPr>
        <w:t xml:space="preserve"> </w:t>
      </w:r>
      <w:r w:rsidR="00804C1A" w:rsidRPr="00181B4F">
        <w:rPr>
          <w:rFonts w:ascii="Arial" w:hAnsi="Arial" w:cs="Arial"/>
          <w:i/>
        </w:rPr>
        <w:t>Needs Substantial Intervention</w:t>
      </w:r>
      <w:r w:rsidR="00B428A5" w:rsidRPr="00181B4F">
        <w:rPr>
          <w:rFonts w:ascii="Arial" w:hAnsi="Arial" w:cs="Arial"/>
          <w:i/>
        </w:rPr>
        <w:t xml:space="preserve"> </w:t>
      </w:r>
      <w:r w:rsidR="00B428A5" w:rsidRPr="00181B4F">
        <w:rPr>
          <w:rFonts w:ascii="Arial" w:hAnsi="Arial" w:cs="Arial"/>
        </w:rPr>
        <w:t>(providing no special circumstances)</w:t>
      </w:r>
      <w:r w:rsidRPr="00181B4F">
        <w:rPr>
          <w:rFonts w:ascii="Arial" w:hAnsi="Arial" w:cs="Arial"/>
        </w:rPr>
        <w:t>.</w:t>
      </w:r>
      <w:r w:rsidR="00644693" w:rsidRPr="00181B4F">
        <w:rPr>
          <w:rFonts w:ascii="Arial" w:hAnsi="Arial" w:cs="Arial"/>
        </w:rPr>
        <w:t xml:space="preserve">  </w:t>
      </w:r>
    </w:p>
    <w:p w:rsidR="00C95CFD" w:rsidRDefault="00C95CFD" w:rsidP="00C95CFD">
      <w:pPr>
        <w:ind w:left="720"/>
        <w:rPr>
          <w:rFonts w:ascii="Arial" w:hAnsi="Arial" w:cs="Arial"/>
        </w:rPr>
      </w:pPr>
    </w:p>
    <w:p w:rsidR="004C61FD" w:rsidRPr="00B428A5" w:rsidRDefault="00ED774B" w:rsidP="00B428A5">
      <w:pPr>
        <w:numPr>
          <w:ilvl w:val="0"/>
          <w:numId w:val="1"/>
        </w:numPr>
        <w:rPr>
          <w:rFonts w:ascii="Arial" w:hAnsi="Arial" w:cs="Arial"/>
        </w:rPr>
      </w:pPr>
      <w:r w:rsidRPr="00B428A5">
        <w:rPr>
          <w:rFonts w:ascii="Arial" w:hAnsi="Arial" w:cs="Arial"/>
        </w:rPr>
        <w:t>Special circumstances are considered</w:t>
      </w:r>
      <w:r w:rsidR="00B177E3">
        <w:rPr>
          <w:rFonts w:ascii="Arial" w:hAnsi="Arial" w:cs="Arial"/>
        </w:rPr>
        <w:t>:</w:t>
      </w:r>
      <w:r w:rsidR="0013670C" w:rsidRPr="00B428A5">
        <w:rPr>
          <w:rFonts w:ascii="Arial" w:hAnsi="Arial" w:cs="Arial"/>
        </w:rPr>
        <w:t xml:space="preserve"> </w:t>
      </w:r>
    </w:p>
    <w:p w:rsidR="004C61FD" w:rsidRPr="00ED774B" w:rsidRDefault="00ED774B" w:rsidP="004C61FD">
      <w:pPr>
        <w:numPr>
          <w:ilvl w:val="1"/>
          <w:numId w:val="1"/>
        </w:numPr>
        <w:rPr>
          <w:rFonts w:ascii="Arial" w:hAnsi="Arial" w:cs="Arial"/>
        </w:rPr>
      </w:pPr>
      <w:r w:rsidRPr="00ED774B">
        <w:rPr>
          <w:rFonts w:ascii="Arial" w:hAnsi="Arial" w:cs="Arial"/>
        </w:rPr>
        <w:t xml:space="preserve">If </w:t>
      </w:r>
      <w:r w:rsidR="007A7861">
        <w:rPr>
          <w:rFonts w:ascii="Arial" w:hAnsi="Arial" w:cs="Arial"/>
        </w:rPr>
        <w:t>a</w:t>
      </w:r>
      <w:r w:rsidR="00B177E3">
        <w:rPr>
          <w:rFonts w:ascii="Arial" w:hAnsi="Arial" w:cs="Arial"/>
        </w:rPr>
        <w:t xml:space="preserve"> district has</w:t>
      </w:r>
      <w:r w:rsidRPr="00ED774B">
        <w:rPr>
          <w:rFonts w:ascii="Arial" w:hAnsi="Arial" w:cs="Arial"/>
        </w:rPr>
        <w:t xml:space="preserve"> any o</w:t>
      </w:r>
      <w:r w:rsidR="00B428A5">
        <w:rPr>
          <w:rFonts w:ascii="Arial" w:hAnsi="Arial" w:cs="Arial"/>
        </w:rPr>
        <w:t>utstanding</w:t>
      </w:r>
      <w:r w:rsidR="007A7861">
        <w:rPr>
          <w:rFonts w:ascii="Arial" w:hAnsi="Arial" w:cs="Arial"/>
        </w:rPr>
        <w:t xml:space="preserve">, uncorrected findings </w:t>
      </w:r>
      <w:r w:rsidR="00B428A5">
        <w:rPr>
          <w:rFonts w:ascii="Arial" w:hAnsi="Arial" w:cs="Arial"/>
        </w:rPr>
        <w:t>of non</w:t>
      </w:r>
      <w:r w:rsidR="004C61FD" w:rsidRPr="00ED774B">
        <w:rPr>
          <w:rFonts w:ascii="Arial" w:hAnsi="Arial" w:cs="Arial"/>
        </w:rPr>
        <w:t>compliance</w:t>
      </w:r>
      <w:r w:rsidRPr="00ED774B">
        <w:rPr>
          <w:rFonts w:ascii="Arial" w:hAnsi="Arial" w:cs="Arial"/>
        </w:rPr>
        <w:t xml:space="preserve"> from m</w:t>
      </w:r>
      <w:r w:rsidR="004C61FD" w:rsidRPr="00ED774B">
        <w:rPr>
          <w:rFonts w:ascii="Arial" w:hAnsi="Arial" w:cs="Arial"/>
        </w:rPr>
        <w:t>onitoring, due process</w:t>
      </w:r>
      <w:r w:rsidRPr="00ED774B">
        <w:rPr>
          <w:rFonts w:ascii="Arial" w:hAnsi="Arial" w:cs="Arial"/>
        </w:rPr>
        <w:t>, or</w:t>
      </w:r>
      <w:r w:rsidR="00B428A5">
        <w:rPr>
          <w:rFonts w:ascii="Arial" w:hAnsi="Arial" w:cs="Arial"/>
        </w:rPr>
        <w:t xml:space="preserve"> </w:t>
      </w:r>
      <w:r w:rsidR="004C61FD" w:rsidRPr="00ED774B">
        <w:rPr>
          <w:rFonts w:ascii="Arial" w:hAnsi="Arial" w:cs="Arial"/>
        </w:rPr>
        <w:t>complaints</w:t>
      </w:r>
      <w:r w:rsidR="00442DF8">
        <w:rPr>
          <w:rFonts w:ascii="Arial" w:hAnsi="Arial" w:cs="Arial"/>
        </w:rPr>
        <w:t xml:space="preserve"> identif</w:t>
      </w:r>
      <w:r w:rsidR="000A338A">
        <w:rPr>
          <w:rFonts w:ascii="Arial" w:hAnsi="Arial" w:cs="Arial"/>
        </w:rPr>
        <w:t xml:space="preserve">ied during the 2010 – </w:t>
      </w:r>
      <w:r w:rsidR="007A7861">
        <w:rPr>
          <w:rFonts w:ascii="Arial" w:hAnsi="Arial" w:cs="Arial"/>
        </w:rPr>
        <w:t>20</w:t>
      </w:r>
      <w:r w:rsidR="00442DF8">
        <w:rPr>
          <w:rFonts w:ascii="Arial" w:hAnsi="Arial" w:cs="Arial"/>
        </w:rPr>
        <w:t>1</w:t>
      </w:r>
      <w:r w:rsidR="000A338A">
        <w:rPr>
          <w:rFonts w:ascii="Arial" w:hAnsi="Arial" w:cs="Arial"/>
        </w:rPr>
        <w:t xml:space="preserve">1 </w:t>
      </w:r>
      <w:r w:rsidR="007A7861">
        <w:rPr>
          <w:rFonts w:ascii="Arial" w:hAnsi="Arial" w:cs="Arial"/>
        </w:rPr>
        <w:t>school year</w:t>
      </w:r>
      <w:r w:rsidRPr="00ED774B">
        <w:rPr>
          <w:rFonts w:ascii="Arial" w:hAnsi="Arial" w:cs="Arial"/>
        </w:rPr>
        <w:t xml:space="preserve">, then </w:t>
      </w:r>
      <w:r w:rsidR="00B177E3">
        <w:rPr>
          <w:rFonts w:ascii="Arial" w:hAnsi="Arial" w:cs="Arial"/>
        </w:rPr>
        <w:t>i</w:t>
      </w:r>
      <w:r w:rsidRPr="00ED774B">
        <w:rPr>
          <w:rFonts w:ascii="Arial" w:hAnsi="Arial" w:cs="Arial"/>
        </w:rPr>
        <w:t xml:space="preserve">t cannot be in </w:t>
      </w:r>
      <w:r w:rsidRPr="00B177E3">
        <w:rPr>
          <w:rFonts w:ascii="Arial" w:hAnsi="Arial" w:cs="Arial"/>
          <w:i/>
        </w:rPr>
        <w:t>Meets Requirements</w:t>
      </w:r>
      <w:r w:rsidRPr="00ED774B">
        <w:rPr>
          <w:rFonts w:ascii="Arial" w:hAnsi="Arial" w:cs="Arial"/>
        </w:rPr>
        <w:t xml:space="preserve">. </w:t>
      </w:r>
    </w:p>
    <w:p w:rsidR="004C61FD" w:rsidRPr="00ED774B" w:rsidRDefault="0008429B" w:rsidP="00ED774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Districts </w:t>
      </w:r>
      <w:r w:rsidR="00B177E3">
        <w:rPr>
          <w:rFonts w:ascii="Arial" w:hAnsi="Arial" w:cs="Arial"/>
        </w:rPr>
        <w:t>in Compliance Agreements</w:t>
      </w:r>
      <w:r w:rsidR="004C61FD" w:rsidRPr="00ED774B">
        <w:rPr>
          <w:rFonts w:ascii="Arial" w:hAnsi="Arial" w:cs="Arial"/>
        </w:rPr>
        <w:t xml:space="preserve"> from the 20</w:t>
      </w:r>
      <w:r w:rsidR="000A338A">
        <w:rPr>
          <w:rFonts w:ascii="Arial" w:hAnsi="Arial" w:cs="Arial"/>
        </w:rPr>
        <w:t xml:space="preserve">09 – </w:t>
      </w:r>
      <w:r w:rsidR="004C61FD" w:rsidRPr="00ED774B">
        <w:rPr>
          <w:rFonts w:ascii="Arial" w:hAnsi="Arial" w:cs="Arial"/>
        </w:rPr>
        <w:t>20</w:t>
      </w:r>
      <w:r w:rsidR="000A338A">
        <w:rPr>
          <w:rFonts w:ascii="Arial" w:hAnsi="Arial" w:cs="Arial"/>
        </w:rPr>
        <w:t xml:space="preserve">10 </w:t>
      </w:r>
      <w:r w:rsidR="004C61FD" w:rsidRPr="00ED774B">
        <w:rPr>
          <w:rFonts w:ascii="Arial" w:hAnsi="Arial" w:cs="Arial"/>
        </w:rPr>
        <w:t xml:space="preserve">school year </w:t>
      </w:r>
      <w:r w:rsidR="00B177E3">
        <w:rPr>
          <w:rFonts w:ascii="Arial" w:hAnsi="Arial" w:cs="Arial"/>
        </w:rPr>
        <w:t xml:space="preserve">are </w:t>
      </w:r>
      <w:r w:rsidR="004C61FD" w:rsidRPr="00ED774B">
        <w:rPr>
          <w:rFonts w:ascii="Arial" w:hAnsi="Arial" w:cs="Arial"/>
        </w:rPr>
        <w:t xml:space="preserve">automatically in </w:t>
      </w:r>
      <w:r w:rsidR="004C61FD" w:rsidRPr="00B177E3">
        <w:rPr>
          <w:rFonts w:ascii="Arial" w:hAnsi="Arial" w:cs="Arial"/>
          <w:i/>
        </w:rPr>
        <w:t>Needs Intervention</w:t>
      </w:r>
      <w:r w:rsidR="00B177E3" w:rsidRPr="00B177E3">
        <w:rPr>
          <w:rFonts w:ascii="Arial" w:hAnsi="Arial" w:cs="Arial"/>
        </w:rPr>
        <w:t xml:space="preserve"> (year one of the compliance agreement)</w:t>
      </w:r>
      <w:r w:rsidR="00ED774B" w:rsidRPr="00ED774B">
        <w:rPr>
          <w:rFonts w:ascii="Arial" w:hAnsi="Arial" w:cs="Arial"/>
        </w:rPr>
        <w:t>.</w:t>
      </w:r>
      <w:r w:rsidR="004C61FD" w:rsidRPr="00ED774B">
        <w:rPr>
          <w:rFonts w:ascii="Arial" w:hAnsi="Arial" w:cs="Arial"/>
        </w:rPr>
        <w:t xml:space="preserve"> </w:t>
      </w:r>
    </w:p>
    <w:p w:rsidR="00036AB1" w:rsidRPr="006D1D89" w:rsidRDefault="0008429B" w:rsidP="006D1D89">
      <w:pPr>
        <w:numPr>
          <w:ilvl w:val="1"/>
          <w:numId w:val="1"/>
        </w:numPr>
        <w:rPr>
          <w:rFonts w:ascii="Arial" w:hAnsi="Arial" w:cs="Arial"/>
        </w:rPr>
      </w:pPr>
      <w:r w:rsidRPr="006D1D89">
        <w:rPr>
          <w:rFonts w:ascii="Arial" w:hAnsi="Arial" w:cs="Arial"/>
        </w:rPr>
        <w:t xml:space="preserve">Districts with uncorrected </w:t>
      </w:r>
      <w:r w:rsidR="007A7861" w:rsidRPr="006D1D89">
        <w:rPr>
          <w:rFonts w:ascii="Arial" w:hAnsi="Arial" w:cs="Arial"/>
        </w:rPr>
        <w:t xml:space="preserve">findings of </w:t>
      </w:r>
      <w:r w:rsidRPr="006D1D89">
        <w:rPr>
          <w:rFonts w:ascii="Arial" w:hAnsi="Arial" w:cs="Arial"/>
        </w:rPr>
        <w:t>non</w:t>
      </w:r>
      <w:r w:rsidR="004C61FD" w:rsidRPr="006D1D89">
        <w:rPr>
          <w:rFonts w:ascii="Arial" w:hAnsi="Arial" w:cs="Arial"/>
        </w:rPr>
        <w:t xml:space="preserve">compliance </w:t>
      </w:r>
      <w:r w:rsidR="00B177E3" w:rsidRPr="006D1D89">
        <w:rPr>
          <w:rFonts w:ascii="Arial" w:hAnsi="Arial" w:cs="Arial"/>
        </w:rPr>
        <w:t>from the 200</w:t>
      </w:r>
      <w:r w:rsidR="000A338A" w:rsidRPr="006D1D89">
        <w:rPr>
          <w:rFonts w:ascii="Arial" w:hAnsi="Arial" w:cs="Arial"/>
        </w:rPr>
        <w:t xml:space="preserve">8 – </w:t>
      </w:r>
      <w:r w:rsidR="00B177E3" w:rsidRPr="006D1D89">
        <w:rPr>
          <w:rFonts w:ascii="Arial" w:hAnsi="Arial" w:cs="Arial"/>
        </w:rPr>
        <w:t>200</w:t>
      </w:r>
      <w:r w:rsidR="000A338A" w:rsidRPr="006D1D89">
        <w:rPr>
          <w:rFonts w:ascii="Arial" w:hAnsi="Arial" w:cs="Arial"/>
        </w:rPr>
        <w:t xml:space="preserve">9 </w:t>
      </w:r>
      <w:r w:rsidR="00B177E3" w:rsidRPr="006D1D89">
        <w:rPr>
          <w:rFonts w:ascii="Arial" w:hAnsi="Arial" w:cs="Arial"/>
        </w:rPr>
        <w:t>school year</w:t>
      </w:r>
      <w:r w:rsidR="004C61FD" w:rsidRPr="006D1D89">
        <w:rPr>
          <w:rFonts w:ascii="Arial" w:hAnsi="Arial" w:cs="Arial"/>
        </w:rPr>
        <w:t xml:space="preserve"> </w:t>
      </w:r>
      <w:r w:rsidR="00442DF8" w:rsidRPr="006D1D89">
        <w:rPr>
          <w:rFonts w:ascii="Arial" w:hAnsi="Arial" w:cs="Arial"/>
        </w:rPr>
        <w:t xml:space="preserve">(or before) </w:t>
      </w:r>
      <w:r w:rsidR="00ED774B" w:rsidRPr="006D1D89">
        <w:rPr>
          <w:rFonts w:ascii="Arial" w:hAnsi="Arial" w:cs="Arial"/>
        </w:rPr>
        <w:t xml:space="preserve">are </w:t>
      </w:r>
      <w:r w:rsidR="004C61FD" w:rsidRPr="006D1D89">
        <w:rPr>
          <w:rFonts w:ascii="Arial" w:hAnsi="Arial" w:cs="Arial"/>
        </w:rPr>
        <w:t xml:space="preserve">automatically in </w:t>
      </w:r>
      <w:r w:rsidR="004C61FD" w:rsidRPr="006D1D89">
        <w:rPr>
          <w:rFonts w:ascii="Arial" w:hAnsi="Arial" w:cs="Arial"/>
          <w:i/>
        </w:rPr>
        <w:t>Needs Substantial Intervention</w:t>
      </w:r>
      <w:r w:rsidR="00B177E3" w:rsidRPr="006D1D89">
        <w:rPr>
          <w:rFonts w:ascii="Arial" w:hAnsi="Arial" w:cs="Arial"/>
          <w:i/>
        </w:rPr>
        <w:t xml:space="preserve"> </w:t>
      </w:r>
      <w:r w:rsidR="00B177E3" w:rsidRPr="006D1D89">
        <w:rPr>
          <w:rFonts w:ascii="Arial" w:hAnsi="Arial" w:cs="Arial"/>
        </w:rPr>
        <w:t>(</w:t>
      </w:r>
      <w:r w:rsidR="00442DF8" w:rsidRPr="006D1D89">
        <w:rPr>
          <w:rFonts w:ascii="Arial" w:hAnsi="Arial" w:cs="Arial"/>
        </w:rPr>
        <w:t xml:space="preserve">≥ year two </w:t>
      </w:r>
      <w:r w:rsidR="00B177E3" w:rsidRPr="006D1D89">
        <w:rPr>
          <w:rFonts w:ascii="Arial" w:hAnsi="Arial" w:cs="Arial"/>
        </w:rPr>
        <w:t>of the compliance agreement)</w:t>
      </w:r>
      <w:r w:rsidR="00120288" w:rsidRPr="006D1D89">
        <w:rPr>
          <w:rFonts w:ascii="Arial" w:hAnsi="Arial" w:cs="Arial"/>
        </w:rPr>
        <w:t xml:space="preserve"> unless notable progress has been made toward clearing the finding(s)</w:t>
      </w:r>
      <w:r w:rsidR="00ED774B" w:rsidRPr="006D1D89">
        <w:rPr>
          <w:rFonts w:ascii="Arial" w:hAnsi="Arial" w:cs="Arial"/>
        </w:rPr>
        <w:t>.</w:t>
      </w:r>
    </w:p>
    <w:sectPr w:rsidR="00036AB1" w:rsidRPr="006D1D89" w:rsidSect="00257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4B4"/>
    <w:multiLevelType w:val="hybridMultilevel"/>
    <w:tmpl w:val="C6263C48"/>
    <w:lvl w:ilvl="0" w:tplc="145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FAC4F70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84B0">
      <w:start w:val="1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2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AD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C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2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4C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4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D910DF"/>
    <w:multiLevelType w:val="hybridMultilevel"/>
    <w:tmpl w:val="F3D84138"/>
    <w:lvl w:ilvl="0" w:tplc="4F8C2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2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F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E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A3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4F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86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7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AE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8E6752"/>
    <w:multiLevelType w:val="hybridMultilevel"/>
    <w:tmpl w:val="04826CB4"/>
    <w:lvl w:ilvl="0" w:tplc="A9C0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45CE8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FA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2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A2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2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CF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04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C61FD"/>
    <w:rsid w:val="00011B2B"/>
    <w:rsid w:val="00015DEA"/>
    <w:rsid w:val="00026F21"/>
    <w:rsid w:val="00036AB1"/>
    <w:rsid w:val="00042FC4"/>
    <w:rsid w:val="000528AC"/>
    <w:rsid w:val="0008429B"/>
    <w:rsid w:val="000A338A"/>
    <w:rsid w:val="00120288"/>
    <w:rsid w:val="0013670C"/>
    <w:rsid w:val="00181B4F"/>
    <w:rsid w:val="002571A4"/>
    <w:rsid w:val="002E294F"/>
    <w:rsid w:val="00363C7D"/>
    <w:rsid w:val="00364851"/>
    <w:rsid w:val="00383B51"/>
    <w:rsid w:val="003B613C"/>
    <w:rsid w:val="0042644A"/>
    <w:rsid w:val="0044034A"/>
    <w:rsid w:val="00442DF8"/>
    <w:rsid w:val="004534F9"/>
    <w:rsid w:val="004C61FD"/>
    <w:rsid w:val="004D4AC9"/>
    <w:rsid w:val="00542408"/>
    <w:rsid w:val="005F5FB5"/>
    <w:rsid w:val="00634E55"/>
    <w:rsid w:val="00644693"/>
    <w:rsid w:val="006D1D89"/>
    <w:rsid w:val="00710189"/>
    <w:rsid w:val="00715B9F"/>
    <w:rsid w:val="007673C9"/>
    <w:rsid w:val="00782CFF"/>
    <w:rsid w:val="007A7861"/>
    <w:rsid w:val="00804C1A"/>
    <w:rsid w:val="0089242C"/>
    <w:rsid w:val="008D4E8E"/>
    <w:rsid w:val="008F0C99"/>
    <w:rsid w:val="0092344A"/>
    <w:rsid w:val="00975744"/>
    <w:rsid w:val="009A0D1C"/>
    <w:rsid w:val="009E3B13"/>
    <w:rsid w:val="00AB2CF6"/>
    <w:rsid w:val="00AC2C5F"/>
    <w:rsid w:val="00B164EB"/>
    <w:rsid w:val="00B177E3"/>
    <w:rsid w:val="00B428A5"/>
    <w:rsid w:val="00C95CFD"/>
    <w:rsid w:val="00CD44D6"/>
    <w:rsid w:val="00D37665"/>
    <w:rsid w:val="00DB1B18"/>
    <w:rsid w:val="00DE77F1"/>
    <w:rsid w:val="00E41215"/>
    <w:rsid w:val="00E64FA9"/>
    <w:rsid w:val="00E80B4D"/>
    <w:rsid w:val="00E84F19"/>
    <w:rsid w:val="00EA2BF0"/>
    <w:rsid w:val="00ED774B"/>
    <w:rsid w:val="00EE4138"/>
    <w:rsid w:val="00F508E6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42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2408"/>
  </w:style>
  <w:style w:type="paragraph" w:styleId="CommentSubject">
    <w:name w:val="annotation subject"/>
    <w:basedOn w:val="CommentText"/>
    <w:next w:val="CommentText"/>
    <w:link w:val="CommentSubjectChar"/>
    <w:rsid w:val="0054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408"/>
    <w:rPr>
      <w:b/>
      <w:bCs/>
    </w:rPr>
  </w:style>
  <w:style w:type="paragraph" w:styleId="BalloonText">
    <w:name w:val="Balloon Text"/>
    <w:basedOn w:val="Normal"/>
    <w:link w:val="BalloonTextChar"/>
    <w:rsid w:val="00542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F3D3E29E737479E36DE561B4ED3E5" ma:contentTypeVersion="0" ma:contentTypeDescription="Create a new document." ma:contentTypeScope="" ma:versionID="6f3c160206a03c8f8f837c3bc27bf7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2ED1-92A0-4268-93BA-0132D5F53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09357-A872-4F03-95B2-0D81C0A694E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592947-D38D-4F94-91B2-D9380469B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A70AB0-B3ED-4251-9202-D29D7364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HP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Susan Wagner</dc:creator>
  <cp:lastModifiedBy>mamber</cp:lastModifiedBy>
  <cp:revision>2</cp:revision>
  <cp:lastPrinted>2011-04-18T16:52:00Z</cp:lastPrinted>
  <dcterms:created xsi:type="dcterms:W3CDTF">2011-06-03T15:47:00Z</dcterms:created>
  <dcterms:modified xsi:type="dcterms:W3CDTF">2011-06-03T15:47:00Z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0x010100CCEF3D3E29E737479E36DE561B4ED3E5</vt:lpwstr>
  </property>
</Properties>
</file>