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533C5" w14:textId="77777777" w:rsidR="00F54F71" w:rsidRDefault="00F54F71" w:rsidP="00F54F71">
      <w:pPr>
        <w:framePr w:w="1378" w:hSpace="180" w:wrap="around" w:vAnchor="text" w:hAnchor="page" w:x="493" w:y="151"/>
        <w:ind w:left="-720" w:firstLine="720"/>
        <w:rPr>
          <w:rFonts w:ascii="Univers" w:hAnsi="Univers"/>
        </w:rPr>
      </w:pPr>
    </w:p>
    <w:p w14:paraId="19E533C6" w14:textId="77777777" w:rsidR="00F54F71" w:rsidRPr="0011353F" w:rsidRDefault="00F54F71" w:rsidP="00F54F71">
      <w:pPr>
        <w:framePr w:w="1378" w:hSpace="180" w:wrap="around" w:vAnchor="text" w:hAnchor="page" w:x="493" w:y="151"/>
        <w:ind w:left="-720" w:firstLine="720"/>
        <w:rPr>
          <w:rFonts w:ascii="Univers" w:hAnsi="Univers"/>
          <w:b/>
          <w:sz w:val="18"/>
        </w:rPr>
      </w:pPr>
      <w:smartTag w:uri="urn:schemas-microsoft-com:office:smarttags" w:element="place">
        <w:smartTag w:uri="urn:schemas-microsoft-com:office:smarttags" w:element="country-region">
          <w:r w:rsidRPr="0011353F">
            <w:rPr>
              <w:rFonts w:ascii="Univers" w:hAnsi="Univers"/>
              <w:b/>
              <w:sz w:val="18"/>
            </w:rPr>
            <w:t>United States</w:t>
          </w:r>
        </w:smartTag>
      </w:smartTag>
    </w:p>
    <w:p w14:paraId="19E533C7" w14:textId="77777777" w:rsidR="00F54F71" w:rsidRPr="0011353F" w:rsidRDefault="00F54F71" w:rsidP="00F54F71">
      <w:pPr>
        <w:framePr w:w="1378" w:hSpace="180" w:wrap="around" w:vAnchor="text" w:hAnchor="page" w:x="493" w:y="151"/>
        <w:ind w:left="-720" w:firstLine="720"/>
        <w:rPr>
          <w:rFonts w:ascii="Univers" w:hAnsi="Univers"/>
          <w:b/>
          <w:sz w:val="18"/>
        </w:rPr>
      </w:pPr>
      <w:r w:rsidRPr="0011353F">
        <w:rPr>
          <w:rFonts w:ascii="Univers" w:hAnsi="Univers"/>
          <w:b/>
          <w:sz w:val="18"/>
        </w:rPr>
        <w:t>Department of</w:t>
      </w:r>
    </w:p>
    <w:p w14:paraId="19E533C8" w14:textId="77777777" w:rsidR="00F54F71" w:rsidRPr="0011353F" w:rsidRDefault="00F54F71" w:rsidP="00F54F71">
      <w:pPr>
        <w:framePr w:w="1378" w:hSpace="180" w:wrap="around" w:vAnchor="text" w:hAnchor="page" w:x="493" w:y="151"/>
        <w:ind w:left="-720" w:firstLine="720"/>
      </w:pPr>
      <w:r w:rsidRPr="0011353F">
        <w:rPr>
          <w:rFonts w:ascii="Univers" w:hAnsi="Univers"/>
          <w:b/>
          <w:sz w:val="18"/>
        </w:rPr>
        <w:t>Agriculture</w:t>
      </w:r>
    </w:p>
    <w:p w14:paraId="19E533C9" w14:textId="77777777" w:rsidR="00F54F71" w:rsidRPr="0011353F" w:rsidRDefault="00F54F71" w:rsidP="00F54F71">
      <w:pPr>
        <w:framePr w:w="1378" w:hSpace="180" w:wrap="around" w:vAnchor="text" w:hAnchor="page" w:x="493" w:y="151"/>
        <w:ind w:left="-720" w:firstLine="720"/>
      </w:pPr>
    </w:p>
    <w:p w14:paraId="19E533CA" w14:textId="77777777" w:rsidR="00F54F71" w:rsidRPr="0011353F" w:rsidRDefault="00F54F71" w:rsidP="00F54F71">
      <w:pPr>
        <w:framePr w:w="1378" w:hSpace="180" w:wrap="around" w:vAnchor="text" w:hAnchor="page" w:x="493" w:y="151"/>
        <w:ind w:left="-720" w:firstLine="720"/>
        <w:rPr>
          <w:rFonts w:ascii="Univers" w:hAnsi="Univers"/>
          <w:sz w:val="16"/>
        </w:rPr>
      </w:pPr>
      <w:r w:rsidRPr="0011353F">
        <w:rPr>
          <w:rFonts w:ascii="Univers" w:hAnsi="Univers"/>
          <w:sz w:val="16"/>
        </w:rPr>
        <w:t>Food and</w:t>
      </w:r>
    </w:p>
    <w:p w14:paraId="19E533CB" w14:textId="77777777" w:rsidR="00F54F71" w:rsidRPr="0011353F" w:rsidRDefault="00F54F71" w:rsidP="00F54F71">
      <w:pPr>
        <w:framePr w:w="1378" w:hSpace="180" w:wrap="around" w:vAnchor="text" w:hAnchor="page" w:x="493" w:y="151"/>
        <w:ind w:left="-720" w:firstLine="720"/>
        <w:rPr>
          <w:rFonts w:ascii="Univers" w:hAnsi="Univers"/>
          <w:sz w:val="16"/>
        </w:rPr>
      </w:pPr>
      <w:r w:rsidRPr="0011353F">
        <w:rPr>
          <w:rFonts w:ascii="Univers" w:hAnsi="Univers"/>
          <w:sz w:val="16"/>
        </w:rPr>
        <w:t xml:space="preserve">Nutrition          </w:t>
      </w:r>
    </w:p>
    <w:p w14:paraId="19E533CC" w14:textId="77777777" w:rsidR="00F54F71" w:rsidRPr="0011353F" w:rsidRDefault="00F54F71" w:rsidP="00F54F71">
      <w:pPr>
        <w:framePr w:w="1378" w:hSpace="180" w:wrap="around" w:vAnchor="text" w:hAnchor="page" w:x="493" w:y="151"/>
        <w:ind w:left="-720" w:firstLine="720"/>
        <w:rPr>
          <w:rFonts w:ascii="Univers" w:hAnsi="Univers"/>
          <w:sz w:val="16"/>
        </w:rPr>
      </w:pPr>
      <w:r w:rsidRPr="0011353F">
        <w:rPr>
          <w:rFonts w:ascii="Univers" w:hAnsi="Univers"/>
          <w:sz w:val="16"/>
        </w:rPr>
        <w:t>Service</w:t>
      </w:r>
    </w:p>
    <w:p w14:paraId="19E533CD"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CE"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CF" w14:textId="77777777" w:rsidR="00F54F71" w:rsidRPr="0011353F" w:rsidRDefault="00F54F71" w:rsidP="00F54F71">
      <w:pPr>
        <w:framePr w:w="1378" w:hSpace="180" w:wrap="around" w:vAnchor="text" w:hAnchor="page" w:x="493" w:y="151"/>
        <w:ind w:left="-720" w:firstLine="720"/>
        <w:rPr>
          <w:rFonts w:ascii="Univers" w:hAnsi="Univers"/>
          <w:sz w:val="16"/>
        </w:rPr>
      </w:pPr>
      <w:r w:rsidRPr="0011353F">
        <w:rPr>
          <w:rFonts w:ascii="Univers" w:hAnsi="Univers"/>
          <w:sz w:val="16"/>
        </w:rPr>
        <w:t>3101 Park</w:t>
      </w:r>
    </w:p>
    <w:p w14:paraId="19E533D0" w14:textId="77777777" w:rsidR="00F54F71" w:rsidRPr="0011353F" w:rsidRDefault="00F54F71" w:rsidP="00F54F71">
      <w:pPr>
        <w:framePr w:w="1378" w:hSpace="180" w:wrap="around" w:vAnchor="text" w:hAnchor="page" w:x="493" w:y="151"/>
        <w:ind w:left="-720" w:firstLine="720"/>
        <w:rPr>
          <w:rFonts w:ascii="Univers" w:hAnsi="Univers"/>
          <w:sz w:val="16"/>
        </w:rPr>
      </w:pPr>
      <w:r w:rsidRPr="0011353F">
        <w:rPr>
          <w:rFonts w:ascii="Univers" w:hAnsi="Univers"/>
          <w:sz w:val="16"/>
        </w:rPr>
        <w:t>Center Drive</w:t>
      </w:r>
    </w:p>
    <w:p w14:paraId="19E533D1" w14:textId="77777777" w:rsidR="00F54F71" w:rsidRPr="0011353F" w:rsidRDefault="00F54F71" w:rsidP="00F54F71">
      <w:pPr>
        <w:framePr w:w="1378" w:hSpace="180" w:wrap="around" w:vAnchor="text" w:hAnchor="page" w:x="493" w:y="151"/>
        <w:ind w:left="-720" w:firstLine="720"/>
        <w:rPr>
          <w:rFonts w:ascii="Univers" w:hAnsi="Univers"/>
          <w:sz w:val="16"/>
        </w:rPr>
      </w:pPr>
      <w:smartTag w:uri="urn:schemas-microsoft-com:office:smarttags" w:element="place">
        <w:smartTag w:uri="urn:schemas-microsoft-com:office:smarttags" w:element="City">
          <w:r w:rsidRPr="0011353F">
            <w:rPr>
              <w:rFonts w:ascii="Univers" w:hAnsi="Univers"/>
              <w:sz w:val="16"/>
            </w:rPr>
            <w:t>Alexandria</w:t>
          </w:r>
        </w:smartTag>
        <w:r w:rsidRPr="0011353F">
          <w:rPr>
            <w:rFonts w:ascii="Univers" w:hAnsi="Univers"/>
            <w:sz w:val="16"/>
          </w:rPr>
          <w:t xml:space="preserve">, </w:t>
        </w:r>
        <w:smartTag w:uri="urn:schemas-microsoft-com:office:smarttags" w:element="State">
          <w:r w:rsidRPr="0011353F">
            <w:rPr>
              <w:rFonts w:ascii="Univers" w:hAnsi="Univers"/>
              <w:sz w:val="16"/>
            </w:rPr>
            <w:t>VA</w:t>
          </w:r>
        </w:smartTag>
      </w:smartTag>
    </w:p>
    <w:p w14:paraId="19E533D2" w14:textId="77777777" w:rsidR="00F54F71" w:rsidRPr="0011353F" w:rsidRDefault="00F54F71" w:rsidP="00F54F71">
      <w:pPr>
        <w:framePr w:w="1378" w:hSpace="180" w:wrap="around" w:vAnchor="text" w:hAnchor="page" w:x="493" w:y="151"/>
        <w:ind w:left="-720" w:firstLine="720"/>
        <w:rPr>
          <w:rFonts w:ascii="Univers" w:hAnsi="Univers"/>
          <w:sz w:val="16"/>
        </w:rPr>
      </w:pPr>
      <w:r w:rsidRPr="0011353F">
        <w:rPr>
          <w:rFonts w:ascii="Univers" w:hAnsi="Univers"/>
          <w:sz w:val="16"/>
        </w:rPr>
        <w:t>22302-1500</w:t>
      </w:r>
    </w:p>
    <w:p w14:paraId="19E533D3"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4"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5"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6"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7"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8"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9"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A"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B"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C"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D"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E"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DF"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0"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1"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2"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3"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4"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5"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6"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7"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8"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9"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A"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B"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C"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D"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E"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EF"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0"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1"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2"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3"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4"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5"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6"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7"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8"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9"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A"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B"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C"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D"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E"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3FF"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0"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1"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2"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3"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4"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5"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6"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7"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8" w14:textId="77777777" w:rsidR="00F54F71" w:rsidRPr="0011353F" w:rsidRDefault="00F54F71" w:rsidP="00F54F71">
      <w:pPr>
        <w:framePr w:w="1378" w:hSpace="180" w:wrap="around" w:vAnchor="text" w:hAnchor="page" w:x="493" w:y="151"/>
        <w:ind w:left="-720" w:firstLine="720"/>
        <w:rPr>
          <w:rFonts w:ascii="Univers" w:hAnsi="Univers"/>
          <w:sz w:val="16"/>
        </w:rPr>
      </w:pPr>
    </w:p>
    <w:p w14:paraId="19E53409" w14:textId="77777777" w:rsidR="00F54F71" w:rsidRPr="0011353F" w:rsidRDefault="00F54F71" w:rsidP="00F54F71">
      <w:pPr>
        <w:framePr w:w="1378" w:hSpace="180" w:wrap="around" w:vAnchor="text" w:hAnchor="page" w:x="493" w:y="151"/>
        <w:ind w:left="-720" w:firstLine="720"/>
        <w:rPr>
          <w:rFonts w:ascii="Univers" w:hAnsi="Univers"/>
        </w:rPr>
      </w:pPr>
    </w:p>
    <w:p w14:paraId="19E5340A" w14:textId="77777777" w:rsidR="00F54F71" w:rsidRPr="0011353F" w:rsidRDefault="00F54F71" w:rsidP="00F54F71">
      <w:pPr>
        <w:rPr>
          <w:sz w:val="23"/>
        </w:rPr>
      </w:pPr>
      <w:r w:rsidRPr="0011353F">
        <w:rPr>
          <w:noProof/>
        </w:rPr>
        <w:drawing>
          <wp:anchor distT="0" distB="0" distL="118745" distR="118745" simplePos="0" relativeHeight="251660288" behindDoc="0" locked="0" layoutInCell="0" allowOverlap="1" wp14:anchorId="19E53478" wp14:editId="19E53479">
            <wp:simplePos x="0" y="0"/>
            <wp:positionH relativeFrom="page">
              <wp:posOffset>1313815</wp:posOffset>
            </wp:positionH>
            <wp:positionV relativeFrom="paragraph">
              <wp:posOffset>-680720</wp:posOffset>
            </wp:positionV>
            <wp:extent cx="762000" cy="523875"/>
            <wp:effectExtent l="19050" t="0" r="0" b="0"/>
            <wp:wrapSquare wrapText="bothSides"/>
            <wp:docPr id="2" name="Picture 2" descr="USD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Symbol"/>
                    <pic:cNvPicPr>
                      <a:picLocks noChangeAspect="1" noChangeArrowheads="1"/>
                    </pic:cNvPicPr>
                  </pic:nvPicPr>
                  <pic:blipFill>
                    <a:blip r:embed="rId12" cstate="print"/>
                    <a:srcRect/>
                    <a:stretch>
                      <a:fillRect/>
                    </a:stretch>
                  </pic:blipFill>
                  <pic:spPr bwMode="auto">
                    <a:xfrm>
                      <a:off x="0" y="0"/>
                      <a:ext cx="762000" cy="523875"/>
                    </a:xfrm>
                    <a:prstGeom prst="rect">
                      <a:avLst/>
                    </a:prstGeom>
                    <a:noFill/>
                    <a:ln w="9525">
                      <a:noFill/>
                      <a:miter lim="800000"/>
                      <a:headEnd/>
                      <a:tailEnd/>
                    </a:ln>
                  </pic:spPr>
                </pic:pic>
              </a:graphicData>
            </a:graphic>
          </wp:anchor>
        </w:drawing>
      </w:r>
    </w:p>
    <w:p w14:paraId="21B45995" w14:textId="77777777" w:rsidR="007059C9" w:rsidRDefault="007059C9" w:rsidP="00F54F71">
      <w:pPr>
        <w:rPr>
          <w:szCs w:val="24"/>
        </w:rPr>
      </w:pPr>
    </w:p>
    <w:p w14:paraId="1EDD73E9" w14:textId="77777777" w:rsidR="007059C9" w:rsidRDefault="007059C9" w:rsidP="00F54F71">
      <w:pPr>
        <w:rPr>
          <w:szCs w:val="24"/>
        </w:rPr>
      </w:pPr>
    </w:p>
    <w:p w14:paraId="30B46FC3" w14:textId="77777777" w:rsidR="007059C9" w:rsidRDefault="007059C9" w:rsidP="00F54F71">
      <w:pPr>
        <w:rPr>
          <w:szCs w:val="24"/>
        </w:rPr>
      </w:pPr>
    </w:p>
    <w:p w14:paraId="15305592" w14:textId="77777777" w:rsidR="007059C9" w:rsidRDefault="007059C9" w:rsidP="00F54F71">
      <w:pPr>
        <w:rPr>
          <w:szCs w:val="24"/>
        </w:rPr>
      </w:pPr>
    </w:p>
    <w:p w14:paraId="19E5340B" w14:textId="33BB9570" w:rsidR="00F54F71" w:rsidRPr="0011353F" w:rsidRDefault="007059C9" w:rsidP="00F54F71">
      <w:pPr>
        <w:rPr>
          <w:szCs w:val="24"/>
        </w:rPr>
      </w:pPr>
      <w:r>
        <w:rPr>
          <w:szCs w:val="24"/>
        </w:rPr>
        <w:t>.0DATE:</w:t>
      </w:r>
      <w:r>
        <w:rPr>
          <w:szCs w:val="24"/>
        </w:rPr>
        <w:tab/>
      </w:r>
      <w:r>
        <w:rPr>
          <w:szCs w:val="24"/>
        </w:rPr>
        <w:tab/>
      </w:r>
      <w:r w:rsidR="00981A1B">
        <w:rPr>
          <w:szCs w:val="24"/>
        </w:rPr>
        <w:t xml:space="preserve">November </w:t>
      </w:r>
      <w:r w:rsidR="003E5C55">
        <w:rPr>
          <w:szCs w:val="24"/>
        </w:rPr>
        <w:t>21</w:t>
      </w:r>
      <w:r w:rsidR="002E08D9" w:rsidRPr="0011353F">
        <w:rPr>
          <w:szCs w:val="24"/>
        </w:rPr>
        <w:t xml:space="preserve">, </w:t>
      </w:r>
      <w:r w:rsidR="00DC7D9D">
        <w:rPr>
          <w:szCs w:val="24"/>
        </w:rPr>
        <w:t>2014</w:t>
      </w:r>
    </w:p>
    <w:p w14:paraId="19E5340C" w14:textId="77777777" w:rsidR="00F54F71" w:rsidRPr="0011353F" w:rsidRDefault="00F54F71" w:rsidP="00F54F71">
      <w:pPr>
        <w:rPr>
          <w:szCs w:val="24"/>
        </w:rPr>
      </w:pPr>
    </w:p>
    <w:p w14:paraId="19E5340D" w14:textId="3E60AAF3" w:rsidR="00F54F71" w:rsidRPr="0011353F" w:rsidRDefault="00F54F71" w:rsidP="00F54F71">
      <w:pPr>
        <w:rPr>
          <w:szCs w:val="24"/>
        </w:rPr>
      </w:pPr>
      <w:r w:rsidRPr="0011353F">
        <w:rPr>
          <w:szCs w:val="24"/>
        </w:rPr>
        <w:t>MEMO CODE:</w:t>
      </w:r>
      <w:r w:rsidRPr="0011353F">
        <w:rPr>
          <w:szCs w:val="24"/>
        </w:rPr>
        <w:tab/>
      </w:r>
      <w:r w:rsidR="007059C9">
        <w:rPr>
          <w:szCs w:val="24"/>
        </w:rPr>
        <w:tab/>
      </w:r>
      <w:r w:rsidR="00B624F8" w:rsidRPr="0011353F">
        <w:rPr>
          <w:szCs w:val="24"/>
        </w:rPr>
        <w:t xml:space="preserve">SP </w:t>
      </w:r>
      <w:r w:rsidR="003E5C55">
        <w:rPr>
          <w:szCs w:val="24"/>
        </w:rPr>
        <w:t>10</w:t>
      </w:r>
      <w:r w:rsidR="00B624F8" w:rsidRPr="0011353F">
        <w:rPr>
          <w:szCs w:val="24"/>
        </w:rPr>
        <w:t>-</w:t>
      </w:r>
      <w:r w:rsidR="00380335" w:rsidRPr="0011353F">
        <w:rPr>
          <w:szCs w:val="24"/>
        </w:rPr>
        <w:t>201</w:t>
      </w:r>
      <w:r w:rsidR="00DC7D9D">
        <w:rPr>
          <w:szCs w:val="24"/>
        </w:rPr>
        <w:t>5</w:t>
      </w:r>
      <w:r w:rsidR="00380335" w:rsidRPr="0011353F">
        <w:rPr>
          <w:szCs w:val="24"/>
        </w:rPr>
        <w:t xml:space="preserve">, CACFP </w:t>
      </w:r>
      <w:r w:rsidR="003E5C55">
        <w:rPr>
          <w:szCs w:val="24"/>
        </w:rPr>
        <w:t>04</w:t>
      </w:r>
      <w:r w:rsidR="00B624F8" w:rsidRPr="0011353F">
        <w:rPr>
          <w:szCs w:val="24"/>
        </w:rPr>
        <w:t>-</w:t>
      </w:r>
      <w:r w:rsidR="00380335" w:rsidRPr="0011353F">
        <w:rPr>
          <w:szCs w:val="24"/>
        </w:rPr>
        <w:t>201</w:t>
      </w:r>
      <w:r w:rsidR="00DC7D9D">
        <w:rPr>
          <w:szCs w:val="24"/>
        </w:rPr>
        <w:t>5</w:t>
      </w:r>
      <w:r w:rsidR="00380335" w:rsidRPr="0011353F">
        <w:rPr>
          <w:szCs w:val="24"/>
        </w:rPr>
        <w:t xml:space="preserve">, </w:t>
      </w:r>
      <w:r w:rsidRPr="0011353F">
        <w:rPr>
          <w:szCs w:val="24"/>
        </w:rPr>
        <w:t xml:space="preserve">SFSP </w:t>
      </w:r>
      <w:r w:rsidR="003E5C55">
        <w:rPr>
          <w:szCs w:val="24"/>
        </w:rPr>
        <w:t>03</w:t>
      </w:r>
      <w:r w:rsidR="00B624F8" w:rsidRPr="0011353F">
        <w:rPr>
          <w:szCs w:val="24"/>
        </w:rPr>
        <w:t>-</w:t>
      </w:r>
      <w:r w:rsidRPr="0011353F">
        <w:rPr>
          <w:szCs w:val="24"/>
        </w:rPr>
        <w:t>201</w:t>
      </w:r>
      <w:r w:rsidR="00DC7D9D">
        <w:rPr>
          <w:szCs w:val="24"/>
        </w:rPr>
        <w:t>5</w:t>
      </w:r>
    </w:p>
    <w:p w14:paraId="19E5340E" w14:textId="77777777" w:rsidR="00F54F71" w:rsidRPr="0011353F" w:rsidRDefault="00F54F71" w:rsidP="00F54F71">
      <w:pPr>
        <w:rPr>
          <w:szCs w:val="24"/>
        </w:rPr>
      </w:pPr>
    </w:p>
    <w:p w14:paraId="19E5340F" w14:textId="5EC481FC" w:rsidR="00F54F71" w:rsidRPr="0011353F" w:rsidRDefault="007059C9" w:rsidP="00F47170">
      <w:pPr>
        <w:ind w:left="2790" w:hanging="2790"/>
        <w:rPr>
          <w:szCs w:val="24"/>
        </w:rPr>
      </w:pPr>
      <w:r>
        <w:rPr>
          <w:szCs w:val="24"/>
        </w:rPr>
        <w:t>SUBJECT:</w:t>
      </w:r>
      <w:r>
        <w:rPr>
          <w:szCs w:val="24"/>
        </w:rPr>
        <w:tab/>
      </w:r>
      <w:r w:rsidR="002E08D9" w:rsidRPr="0011353F">
        <w:rPr>
          <w:szCs w:val="24"/>
        </w:rPr>
        <w:t>Area Eligibility</w:t>
      </w:r>
      <w:r w:rsidR="009B2B97" w:rsidRPr="0011353F">
        <w:rPr>
          <w:szCs w:val="24"/>
        </w:rPr>
        <w:t xml:space="preserve"> in Child Nutrition Programs</w:t>
      </w:r>
      <w:r w:rsidR="002E08D9" w:rsidRPr="0011353F">
        <w:rPr>
          <w:szCs w:val="24"/>
        </w:rPr>
        <w:t xml:space="preserve"> </w:t>
      </w:r>
    </w:p>
    <w:p w14:paraId="19E53410" w14:textId="77777777" w:rsidR="00F54F71" w:rsidRPr="0011353F" w:rsidRDefault="00F54F71" w:rsidP="00F54F71">
      <w:pPr>
        <w:rPr>
          <w:szCs w:val="24"/>
        </w:rPr>
      </w:pPr>
    </w:p>
    <w:p w14:paraId="19E53411" w14:textId="77777777" w:rsidR="00F54F71" w:rsidRPr="0011353F" w:rsidRDefault="00F54F71" w:rsidP="00F54F71">
      <w:pPr>
        <w:rPr>
          <w:szCs w:val="24"/>
        </w:rPr>
      </w:pPr>
      <w:r w:rsidRPr="0011353F">
        <w:rPr>
          <w:szCs w:val="24"/>
        </w:rPr>
        <w:t>TO:</w:t>
      </w:r>
      <w:r w:rsidRPr="0011353F">
        <w:rPr>
          <w:szCs w:val="24"/>
        </w:rPr>
        <w:tab/>
      </w:r>
      <w:r w:rsidRPr="0011353F">
        <w:rPr>
          <w:szCs w:val="24"/>
        </w:rPr>
        <w:tab/>
      </w:r>
      <w:r w:rsidRPr="0011353F">
        <w:rPr>
          <w:szCs w:val="24"/>
        </w:rPr>
        <w:tab/>
        <w:t>Regional Directors</w:t>
      </w:r>
    </w:p>
    <w:p w14:paraId="19E53412" w14:textId="1D8B0E23" w:rsidR="00F54F71" w:rsidRPr="0011353F" w:rsidRDefault="00F54F71" w:rsidP="00F54F71">
      <w:pPr>
        <w:rPr>
          <w:szCs w:val="24"/>
        </w:rPr>
      </w:pPr>
      <w:r w:rsidRPr="0011353F">
        <w:rPr>
          <w:szCs w:val="24"/>
        </w:rPr>
        <w:tab/>
      </w:r>
      <w:r w:rsidRPr="0011353F">
        <w:rPr>
          <w:szCs w:val="24"/>
        </w:rPr>
        <w:tab/>
      </w:r>
      <w:r w:rsidRPr="0011353F">
        <w:rPr>
          <w:szCs w:val="24"/>
        </w:rPr>
        <w:tab/>
      </w:r>
      <w:r w:rsidR="007059C9">
        <w:rPr>
          <w:szCs w:val="24"/>
        </w:rPr>
        <w:tab/>
      </w:r>
      <w:r w:rsidRPr="0011353F">
        <w:rPr>
          <w:szCs w:val="24"/>
        </w:rPr>
        <w:t>Special Nutrition Programs</w:t>
      </w:r>
    </w:p>
    <w:p w14:paraId="19E53413" w14:textId="7AAA10BB" w:rsidR="00F54F71" w:rsidRPr="0011353F" w:rsidRDefault="00F54F71" w:rsidP="00F54F71">
      <w:pPr>
        <w:rPr>
          <w:szCs w:val="24"/>
        </w:rPr>
      </w:pPr>
      <w:r w:rsidRPr="0011353F">
        <w:rPr>
          <w:szCs w:val="24"/>
        </w:rPr>
        <w:tab/>
      </w:r>
      <w:r w:rsidRPr="0011353F">
        <w:rPr>
          <w:szCs w:val="24"/>
        </w:rPr>
        <w:tab/>
      </w:r>
      <w:r w:rsidRPr="0011353F">
        <w:rPr>
          <w:szCs w:val="24"/>
        </w:rPr>
        <w:tab/>
      </w:r>
      <w:r w:rsidR="007059C9">
        <w:rPr>
          <w:szCs w:val="24"/>
        </w:rPr>
        <w:tab/>
      </w:r>
      <w:r w:rsidRPr="0011353F">
        <w:rPr>
          <w:szCs w:val="24"/>
        </w:rPr>
        <w:t>All Regions</w:t>
      </w:r>
      <w:r w:rsidRPr="0011353F">
        <w:rPr>
          <w:szCs w:val="24"/>
        </w:rPr>
        <w:br/>
      </w:r>
    </w:p>
    <w:p w14:paraId="19E53414" w14:textId="6950C2BA" w:rsidR="00F54F71" w:rsidRPr="0011353F" w:rsidRDefault="00F54F71" w:rsidP="00F54F71">
      <w:pPr>
        <w:rPr>
          <w:szCs w:val="24"/>
        </w:rPr>
      </w:pPr>
      <w:r w:rsidRPr="0011353F">
        <w:rPr>
          <w:szCs w:val="24"/>
        </w:rPr>
        <w:tab/>
      </w:r>
      <w:r w:rsidRPr="0011353F">
        <w:rPr>
          <w:szCs w:val="24"/>
        </w:rPr>
        <w:tab/>
      </w:r>
      <w:r w:rsidRPr="0011353F">
        <w:rPr>
          <w:szCs w:val="24"/>
        </w:rPr>
        <w:tab/>
      </w:r>
      <w:r w:rsidR="007059C9">
        <w:rPr>
          <w:szCs w:val="24"/>
        </w:rPr>
        <w:tab/>
      </w:r>
      <w:r w:rsidRPr="0011353F">
        <w:rPr>
          <w:szCs w:val="24"/>
        </w:rPr>
        <w:t>State Directors</w:t>
      </w:r>
    </w:p>
    <w:p w14:paraId="19E53415" w14:textId="5A4B4FE1" w:rsidR="00F54F71" w:rsidRPr="0011353F" w:rsidRDefault="00F54F71" w:rsidP="00F54F71">
      <w:pPr>
        <w:rPr>
          <w:szCs w:val="24"/>
        </w:rPr>
      </w:pPr>
      <w:r w:rsidRPr="0011353F">
        <w:rPr>
          <w:szCs w:val="24"/>
        </w:rPr>
        <w:tab/>
      </w:r>
      <w:r w:rsidRPr="0011353F">
        <w:rPr>
          <w:szCs w:val="24"/>
        </w:rPr>
        <w:tab/>
      </w:r>
      <w:r w:rsidRPr="0011353F">
        <w:rPr>
          <w:szCs w:val="24"/>
        </w:rPr>
        <w:tab/>
      </w:r>
      <w:r w:rsidR="007059C9">
        <w:rPr>
          <w:szCs w:val="24"/>
        </w:rPr>
        <w:tab/>
      </w:r>
      <w:r w:rsidRPr="0011353F">
        <w:rPr>
          <w:szCs w:val="24"/>
        </w:rPr>
        <w:t>Child Nutrition Programs</w:t>
      </w:r>
    </w:p>
    <w:p w14:paraId="19E53416" w14:textId="164463AD" w:rsidR="00F54F71" w:rsidRPr="0011353F" w:rsidRDefault="00F54F71" w:rsidP="00F54F71">
      <w:pPr>
        <w:rPr>
          <w:szCs w:val="24"/>
        </w:rPr>
      </w:pPr>
      <w:r w:rsidRPr="0011353F">
        <w:rPr>
          <w:szCs w:val="24"/>
        </w:rPr>
        <w:tab/>
      </w:r>
      <w:r w:rsidRPr="0011353F">
        <w:rPr>
          <w:szCs w:val="24"/>
        </w:rPr>
        <w:tab/>
      </w:r>
      <w:r w:rsidRPr="0011353F">
        <w:rPr>
          <w:szCs w:val="24"/>
        </w:rPr>
        <w:tab/>
      </w:r>
      <w:r w:rsidR="007059C9">
        <w:rPr>
          <w:szCs w:val="24"/>
        </w:rPr>
        <w:tab/>
      </w:r>
      <w:bookmarkStart w:id="0" w:name="_GoBack"/>
      <w:bookmarkEnd w:id="0"/>
      <w:r w:rsidRPr="0011353F">
        <w:rPr>
          <w:szCs w:val="24"/>
        </w:rPr>
        <w:t>All States</w:t>
      </w:r>
    </w:p>
    <w:p w14:paraId="19E53417" w14:textId="77777777" w:rsidR="00F54F71" w:rsidRPr="0011353F" w:rsidRDefault="00F54F71" w:rsidP="00F54F71">
      <w:pPr>
        <w:rPr>
          <w:szCs w:val="24"/>
        </w:rPr>
      </w:pPr>
    </w:p>
    <w:p w14:paraId="19E53418" w14:textId="214804F3" w:rsidR="00396E07" w:rsidRPr="0011353F" w:rsidRDefault="00396E07" w:rsidP="00396E07">
      <w:pPr>
        <w:rPr>
          <w:szCs w:val="24"/>
        </w:rPr>
      </w:pPr>
      <w:r w:rsidRPr="0011353F">
        <w:rPr>
          <w:szCs w:val="24"/>
        </w:rPr>
        <w:t>The purpose of this memorandum is to</w:t>
      </w:r>
      <w:r w:rsidR="002E08D9" w:rsidRPr="0011353F">
        <w:rPr>
          <w:szCs w:val="24"/>
        </w:rPr>
        <w:t xml:space="preserve"> provide guidance on </w:t>
      </w:r>
      <w:r w:rsidRPr="0011353F">
        <w:rPr>
          <w:szCs w:val="24"/>
        </w:rPr>
        <w:t>the use of school and census data to establish area eligibility in the Child and Adult Care Food Program (CACFP), Summer Food Service Program (SFSP), and the Seamless Summer Option (SSO) of the National School Lunch Program (NSLP)</w:t>
      </w:r>
      <w:r w:rsidR="003C7AF9" w:rsidRPr="0011353F">
        <w:rPr>
          <w:szCs w:val="24"/>
        </w:rPr>
        <w:t xml:space="preserve">. </w:t>
      </w:r>
      <w:r w:rsidR="007167B2">
        <w:rPr>
          <w:szCs w:val="24"/>
        </w:rPr>
        <w:t xml:space="preserve"> </w:t>
      </w:r>
      <w:r w:rsidRPr="0011353F">
        <w:rPr>
          <w:szCs w:val="24"/>
        </w:rPr>
        <w:t xml:space="preserve">In addition, this memorandum consolidates previous guidance and simplifies the area eligibility determination process to reduce administrative burden on State agencies and Program operators. </w:t>
      </w:r>
      <w:r w:rsidR="007167B2">
        <w:rPr>
          <w:szCs w:val="24"/>
        </w:rPr>
        <w:t xml:space="preserve"> </w:t>
      </w:r>
      <w:r w:rsidR="00EB38DF">
        <w:rPr>
          <w:szCs w:val="24"/>
        </w:rPr>
        <w:t xml:space="preserve">This memorandum also includes guidance on the </w:t>
      </w:r>
      <w:r w:rsidR="004350FF">
        <w:rPr>
          <w:szCs w:val="24"/>
        </w:rPr>
        <w:t>C</w:t>
      </w:r>
      <w:r w:rsidR="00A23180">
        <w:rPr>
          <w:szCs w:val="24"/>
        </w:rPr>
        <w:t xml:space="preserve">ommunity </w:t>
      </w:r>
      <w:r w:rsidR="004350FF">
        <w:rPr>
          <w:szCs w:val="24"/>
        </w:rPr>
        <w:t>E</w:t>
      </w:r>
      <w:r w:rsidR="00A23180">
        <w:rPr>
          <w:szCs w:val="24"/>
        </w:rPr>
        <w:t>ligibility</w:t>
      </w:r>
      <w:r w:rsidR="00EB38DF">
        <w:rPr>
          <w:szCs w:val="24"/>
        </w:rPr>
        <w:t xml:space="preserve"> </w:t>
      </w:r>
      <w:r w:rsidR="004350FF">
        <w:rPr>
          <w:szCs w:val="24"/>
        </w:rPr>
        <w:t>P</w:t>
      </w:r>
      <w:r w:rsidR="00EB38DF">
        <w:rPr>
          <w:szCs w:val="24"/>
        </w:rPr>
        <w:t>rovision</w:t>
      </w:r>
      <w:r w:rsidR="00D8222E">
        <w:rPr>
          <w:szCs w:val="24"/>
        </w:rPr>
        <w:t xml:space="preserve"> (CEP)</w:t>
      </w:r>
      <w:r w:rsidR="00A23180">
        <w:rPr>
          <w:szCs w:val="24"/>
        </w:rPr>
        <w:t xml:space="preserve"> as it relates to area eligibility determinations</w:t>
      </w:r>
      <w:r w:rsidR="00EB38DF">
        <w:rPr>
          <w:szCs w:val="24"/>
        </w:rPr>
        <w:t>.</w:t>
      </w:r>
      <w:r w:rsidR="00A23180">
        <w:rPr>
          <w:szCs w:val="24"/>
        </w:rPr>
        <w:t xml:space="preserve"> </w:t>
      </w:r>
      <w:r w:rsidR="007167B2">
        <w:rPr>
          <w:szCs w:val="24"/>
        </w:rPr>
        <w:t xml:space="preserve"> </w:t>
      </w:r>
      <w:r w:rsidRPr="0011353F">
        <w:rPr>
          <w:szCs w:val="24"/>
        </w:rPr>
        <w:t>This memorandum supersedes:</w:t>
      </w:r>
    </w:p>
    <w:p w14:paraId="19E53419" w14:textId="77777777" w:rsidR="00C3330E" w:rsidRPr="0011353F" w:rsidRDefault="00C3330E" w:rsidP="00C3330E">
      <w:pPr>
        <w:pStyle w:val="Default"/>
      </w:pPr>
    </w:p>
    <w:p w14:paraId="19E5341A" w14:textId="77777777" w:rsidR="00ED0E77" w:rsidRPr="0011353F" w:rsidRDefault="00C47511">
      <w:pPr>
        <w:pStyle w:val="Default"/>
        <w:numPr>
          <w:ilvl w:val="0"/>
          <w:numId w:val="9"/>
        </w:numPr>
        <w:ind w:left="1350" w:hanging="990"/>
        <w:rPr>
          <w:sz w:val="23"/>
          <w:szCs w:val="23"/>
        </w:rPr>
      </w:pPr>
      <w:r w:rsidRPr="0011353F">
        <w:rPr>
          <w:sz w:val="23"/>
          <w:szCs w:val="23"/>
        </w:rPr>
        <w:t xml:space="preserve">SP 49-2014, CACFP 13-2014, SFSP 19-2014, </w:t>
      </w:r>
      <w:r w:rsidRPr="0011353F">
        <w:rPr>
          <w:i/>
          <w:sz w:val="23"/>
          <w:szCs w:val="23"/>
        </w:rPr>
        <w:t>Area Eligibility Using Census Data</w:t>
      </w:r>
      <w:r w:rsidRPr="0011353F">
        <w:rPr>
          <w:sz w:val="23"/>
          <w:szCs w:val="23"/>
        </w:rPr>
        <w:t>, May 28, 2014;</w:t>
      </w:r>
    </w:p>
    <w:p w14:paraId="19E5341B" w14:textId="77777777" w:rsidR="00ED0E77" w:rsidRPr="0011353F" w:rsidRDefault="00925EEC">
      <w:pPr>
        <w:pStyle w:val="Default"/>
        <w:numPr>
          <w:ilvl w:val="0"/>
          <w:numId w:val="9"/>
        </w:numPr>
        <w:ind w:left="1350" w:hanging="990"/>
        <w:rPr>
          <w:sz w:val="23"/>
          <w:szCs w:val="23"/>
        </w:rPr>
      </w:pPr>
      <w:r w:rsidRPr="0011353F">
        <w:rPr>
          <w:sz w:val="23"/>
          <w:szCs w:val="23"/>
        </w:rPr>
        <w:t xml:space="preserve">SP 05-2014, CACFP 02-2014, SFSP 05-2014, </w:t>
      </w:r>
      <w:r w:rsidRPr="0011353F">
        <w:rPr>
          <w:i/>
          <w:sz w:val="23"/>
          <w:szCs w:val="23"/>
        </w:rPr>
        <w:t>Use of School and Census Data</w:t>
      </w:r>
      <w:r w:rsidRPr="0011353F">
        <w:rPr>
          <w:sz w:val="23"/>
          <w:szCs w:val="23"/>
        </w:rPr>
        <w:t>, November 12, 2013;</w:t>
      </w:r>
    </w:p>
    <w:p w14:paraId="19E5341C" w14:textId="77777777" w:rsidR="00ED0E77" w:rsidRPr="0011353F" w:rsidRDefault="00C3330E">
      <w:pPr>
        <w:pStyle w:val="Default"/>
        <w:numPr>
          <w:ilvl w:val="0"/>
          <w:numId w:val="9"/>
        </w:numPr>
        <w:ind w:left="1350" w:hanging="990"/>
        <w:rPr>
          <w:sz w:val="23"/>
          <w:szCs w:val="23"/>
        </w:rPr>
      </w:pPr>
      <w:r w:rsidRPr="0011353F">
        <w:rPr>
          <w:sz w:val="23"/>
          <w:szCs w:val="23"/>
        </w:rPr>
        <w:t xml:space="preserve">SP 03-2014, CACFP 01-2014, SFSP 03-2014, </w:t>
      </w:r>
      <w:r w:rsidRPr="0011353F">
        <w:rPr>
          <w:i/>
          <w:sz w:val="23"/>
          <w:szCs w:val="23"/>
        </w:rPr>
        <w:t>Census Data Release: Fiscal Year 2014</w:t>
      </w:r>
      <w:r w:rsidRPr="0011353F">
        <w:rPr>
          <w:sz w:val="23"/>
          <w:szCs w:val="23"/>
        </w:rPr>
        <w:t>, November 8, 2013</w:t>
      </w:r>
      <w:r w:rsidR="00925EEC" w:rsidRPr="0011353F">
        <w:rPr>
          <w:sz w:val="23"/>
          <w:szCs w:val="23"/>
        </w:rPr>
        <w:t>;</w:t>
      </w:r>
    </w:p>
    <w:p w14:paraId="19E5341D" w14:textId="77777777" w:rsidR="00ED0E77" w:rsidRPr="0011353F" w:rsidRDefault="00C01325">
      <w:pPr>
        <w:pStyle w:val="Default"/>
        <w:numPr>
          <w:ilvl w:val="0"/>
          <w:numId w:val="9"/>
        </w:numPr>
        <w:ind w:left="1350" w:hanging="990"/>
        <w:rPr>
          <w:sz w:val="23"/>
          <w:szCs w:val="23"/>
        </w:rPr>
      </w:pPr>
      <w:r w:rsidRPr="0011353F">
        <w:rPr>
          <w:sz w:val="23"/>
          <w:szCs w:val="23"/>
        </w:rPr>
        <w:t xml:space="preserve">CACFP 06-2013, SFSP 11-2013, </w:t>
      </w:r>
      <w:r w:rsidRPr="0011353F">
        <w:rPr>
          <w:i/>
          <w:sz w:val="23"/>
          <w:szCs w:val="23"/>
        </w:rPr>
        <w:t>Eligibility Based on Census Data: 2013 Data Release</w:t>
      </w:r>
      <w:r w:rsidR="0045762E" w:rsidRPr="0011353F">
        <w:rPr>
          <w:i/>
          <w:sz w:val="23"/>
          <w:szCs w:val="23"/>
        </w:rPr>
        <w:t xml:space="preserve">, </w:t>
      </w:r>
      <w:r w:rsidR="0045762E" w:rsidRPr="0011353F">
        <w:rPr>
          <w:sz w:val="23"/>
          <w:szCs w:val="23"/>
        </w:rPr>
        <w:t>February 21, 2013</w:t>
      </w:r>
      <w:r w:rsidR="00925EEC" w:rsidRPr="0011353F">
        <w:rPr>
          <w:sz w:val="23"/>
          <w:szCs w:val="23"/>
        </w:rPr>
        <w:t>;</w:t>
      </w:r>
    </w:p>
    <w:p w14:paraId="19E5341E" w14:textId="77777777" w:rsidR="00ED0E77" w:rsidRPr="0011353F" w:rsidRDefault="0045762E">
      <w:pPr>
        <w:pStyle w:val="Default"/>
        <w:numPr>
          <w:ilvl w:val="0"/>
          <w:numId w:val="9"/>
        </w:numPr>
        <w:ind w:left="1350" w:hanging="990"/>
        <w:rPr>
          <w:sz w:val="23"/>
          <w:szCs w:val="23"/>
        </w:rPr>
      </w:pPr>
      <w:r w:rsidRPr="0011353F">
        <w:rPr>
          <w:sz w:val="23"/>
          <w:szCs w:val="23"/>
        </w:rPr>
        <w:t>CACFP 13-2012, SFSP 11-2012</w:t>
      </w:r>
      <w:r w:rsidR="008F3786">
        <w:rPr>
          <w:sz w:val="23"/>
          <w:szCs w:val="23"/>
        </w:rPr>
        <w:t>,</w:t>
      </w:r>
      <w:r w:rsidRPr="0011353F">
        <w:rPr>
          <w:i/>
          <w:sz w:val="23"/>
          <w:szCs w:val="23"/>
        </w:rPr>
        <w:t xml:space="preserve"> Eligibility Based on Census Data: Revision of 2012 Data Release</w:t>
      </w:r>
      <w:r w:rsidRPr="0011353F">
        <w:rPr>
          <w:sz w:val="23"/>
          <w:szCs w:val="23"/>
        </w:rPr>
        <w:t>, April 26, 2012</w:t>
      </w:r>
      <w:r w:rsidR="008818F8" w:rsidRPr="0011353F">
        <w:rPr>
          <w:sz w:val="23"/>
          <w:szCs w:val="23"/>
        </w:rPr>
        <w:t xml:space="preserve">; </w:t>
      </w:r>
    </w:p>
    <w:p w14:paraId="19E5341F" w14:textId="77777777" w:rsidR="00ED0E77" w:rsidRPr="0011353F" w:rsidRDefault="0045762E">
      <w:pPr>
        <w:pStyle w:val="Default"/>
        <w:numPr>
          <w:ilvl w:val="0"/>
          <w:numId w:val="9"/>
        </w:numPr>
        <w:ind w:left="1350" w:hanging="990"/>
        <w:rPr>
          <w:sz w:val="23"/>
          <w:szCs w:val="23"/>
        </w:rPr>
      </w:pPr>
      <w:r w:rsidRPr="0011353F">
        <w:rPr>
          <w:sz w:val="23"/>
          <w:szCs w:val="23"/>
        </w:rPr>
        <w:t xml:space="preserve">CACFP 07-2012, SFSP 09-2012, </w:t>
      </w:r>
      <w:r w:rsidR="006B0F46" w:rsidRPr="006B0F46">
        <w:rPr>
          <w:i/>
          <w:sz w:val="23"/>
          <w:szCs w:val="23"/>
        </w:rPr>
        <w:t>Eligibility Based on Census Data: 2012 Data Release</w:t>
      </w:r>
      <w:r w:rsidRPr="0011353F">
        <w:rPr>
          <w:sz w:val="23"/>
          <w:szCs w:val="23"/>
        </w:rPr>
        <w:t xml:space="preserve">, </w:t>
      </w:r>
      <w:r w:rsidRPr="0011353F">
        <w:rPr>
          <w:bCs/>
          <w:sz w:val="23"/>
          <w:szCs w:val="23"/>
        </w:rPr>
        <w:t>February 13, 2012</w:t>
      </w:r>
      <w:r w:rsidR="008818F8" w:rsidRPr="0011353F">
        <w:rPr>
          <w:bCs/>
          <w:sz w:val="23"/>
          <w:szCs w:val="23"/>
        </w:rPr>
        <w:t>; and</w:t>
      </w:r>
    </w:p>
    <w:p w14:paraId="19E53420" w14:textId="77777777" w:rsidR="00ED0E77" w:rsidRPr="0011353F" w:rsidRDefault="008818F8">
      <w:pPr>
        <w:pStyle w:val="Default"/>
        <w:numPr>
          <w:ilvl w:val="0"/>
          <w:numId w:val="9"/>
        </w:numPr>
        <w:ind w:left="1350" w:hanging="990"/>
        <w:rPr>
          <w:sz w:val="23"/>
          <w:szCs w:val="23"/>
        </w:rPr>
      </w:pPr>
      <w:r w:rsidRPr="0011353F">
        <w:rPr>
          <w:sz w:val="23"/>
          <w:szCs w:val="23"/>
        </w:rPr>
        <w:t>SFSP 18-99</w:t>
      </w:r>
      <w:r w:rsidR="008F3786">
        <w:rPr>
          <w:sz w:val="23"/>
          <w:szCs w:val="23"/>
        </w:rPr>
        <w:t>,</w:t>
      </w:r>
      <w:r w:rsidR="00120F36" w:rsidRPr="0011353F">
        <w:rPr>
          <w:sz w:val="23"/>
          <w:szCs w:val="23"/>
        </w:rPr>
        <w:t xml:space="preserve"> </w:t>
      </w:r>
      <w:r w:rsidR="005A79FC" w:rsidRPr="0011353F">
        <w:rPr>
          <w:i/>
          <w:sz w:val="23"/>
          <w:szCs w:val="23"/>
        </w:rPr>
        <w:t>Certifying Eligibility of Sites Serving American Indian or Alaska Native Children</w:t>
      </w:r>
      <w:r w:rsidRPr="0011353F">
        <w:rPr>
          <w:sz w:val="23"/>
          <w:szCs w:val="23"/>
        </w:rPr>
        <w:t>, February 12, 1999.</w:t>
      </w:r>
    </w:p>
    <w:p w14:paraId="19E53421" w14:textId="77777777" w:rsidR="00396E07" w:rsidRPr="0011353F" w:rsidRDefault="00396E07" w:rsidP="00396E07">
      <w:pPr>
        <w:rPr>
          <w:szCs w:val="24"/>
        </w:rPr>
      </w:pPr>
    </w:p>
    <w:p w14:paraId="19E53422" w14:textId="61F34526" w:rsidR="00DC7D9D" w:rsidRDefault="00396E07">
      <w:r w:rsidRPr="0011353F">
        <w:t>The two primary sources of data that may be used to determine whether a site is area eligible are school data and census data</w:t>
      </w:r>
      <w:r w:rsidR="003C7AF9" w:rsidRPr="0011353F">
        <w:t xml:space="preserve">. </w:t>
      </w:r>
      <w:r w:rsidR="007167B2">
        <w:t xml:space="preserve"> </w:t>
      </w:r>
      <w:r w:rsidRPr="0011353F">
        <w:t xml:space="preserve">The </w:t>
      </w:r>
      <w:r w:rsidR="006B136E" w:rsidRPr="0011353F">
        <w:t xml:space="preserve">Richard B. Russell </w:t>
      </w:r>
      <w:r w:rsidRPr="0011353F">
        <w:t xml:space="preserve">National School Lunch Act (NSLA) allows the use of school data to establish area eligibility in the CACFP </w:t>
      </w:r>
      <w:r w:rsidR="006A3E78">
        <w:br/>
      </w:r>
      <w:r w:rsidRPr="0011353F">
        <w:t>[42 U.S.C. 1766(f)(3)(A)(ii)(I)(bb)] and SFSP [42 U.S.C. 1761(a)(1)(A)(i)(I)]</w:t>
      </w:r>
      <w:r w:rsidR="003C7AF9" w:rsidRPr="0011353F">
        <w:t xml:space="preserve">. </w:t>
      </w:r>
      <w:r w:rsidR="007167B2">
        <w:t xml:space="preserve"> </w:t>
      </w:r>
      <w:r w:rsidRPr="0011353F">
        <w:t>The NSLA also allows the use of census data to establish tier I eligibility for CACFP day care homes [42 U.S.C. 1766(f</w:t>
      </w:r>
      <w:proofErr w:type="gramStart"/>
      <w:r w:rsidRPr="0011353F">
        <w:t>)(</w:t>
      </w:r>
      <w:proofErr w:type="gramEnd"/>
      <w:r w:rsidRPr="0011353F">
        <w:t xml:space="preserve">3)(A)(ii)(I)(aa)] and area eligibility for SFSP sites </w:t>
      </w:r>
    </w:p>
    <w:p w14:paraId="19E53423" w14:textId="77777777" w:rsidR="00DC7D9D" w:rsidRDefault="00DC7D9D"/>
    <w:p w14:paraId="19E53424" w14:textId="4CB0B7B1" w:rsidR="00ED0E77" w:rsidRPr="0011353F" w:rsidRDefault="00396E07">
      <w:r w:rsidRPr="0011353F">
        <w:lastRenderedPageBreak/>
        <w:t>[42 U.S.C. 1761(a</w:t>
      </w:r>
      <w:proofErr w:type="gramStart"/>
      <w:r w:rsidRPr="0011353F">
        <w:t>)(</w:t>
      </w:r>
      <w:proofErr w:type="gramEnd"/>
      <w:r w:rsidRPr="0011353F">
        <w:t>1)(A)(</w:t>
      </w:r>
      <w:proofErr w:type="spellStart"/>
      <w:r w:rsidRPr="0011353F">
        <w:t>i</w:t>
      </w:r>
      <w:proofErr w:type="spellEnd"/>
      <w:r w:rsidRPr="0011353F">
        <w:t>)(II)]</w:t>
      </w:r>
      <w:r w:rsidR="003C7AF9" w:rsidRPr="0011353F">
        <w:t xml:space="preserve">. </w:t>
      </w:r>
      <w:r w:rsidR="007167B2">
        <w:t xml:space="preserve"> </w:t>
      </w:r>
      <w:r w:rsidR="00282153" w:rsidRPr="0011353F">
        <w:t xml:space="preserve">The most recent guidance on the use of school and </w:t>
      </w:r>
      <w:r w:rsidR="00DC7D9D">
        <w:t>c</w:t>
      </w:r>
      <w:r w:rsidR="00282153" w:rsidRPr="0011353F">
        <w:t xml:space="preserve">ensus data </w:t>
      </w:r>
      <w:r w:rsidR="008F3786">
        <w:t xml:space="preserve">for </w:t>
      </w:r>
      <w:r w:rsidR="00282153" w:rsidRPr="0011353F">
        <w:t>area eligib</w:t>
      </w:r>
      <w:r w:rsidR="008F3786">
        <w:t xml:space="preserve">ility </w:t>
      </w:r>
      <w:r w:rsidR="006A3E78">
        <w:t>determinations</w:t>
      </w:r>
      <w:r w:rsidR="00282153" w:rsidRPr="0011353F">
        <w:t xml:space="preserve"> in SSO </w:t>
      </w:r>
      <w:r w:rsidR="009B2B97" w:rsidRPr="0011353F">
        <w:t>is available at</w:t>
      </w:r>
      <w:r w:rsidR="00282153" w:rsidRPr="0011353F">
        <w:t xml:space="preserve">: </w:t>
      </w:r>
      <w:hyperlink r:id="rId13" w:history="1">
        <w:r w:rsidR="0069152E" w:rsidRPr="0011353F">
          <w:rPr>
            <w:rStyle w:val="Hyperlink"/>
          </w:rPr>
          <w:t>http://www.fns.usda.gov/school-meals/opportunity-schools</w:t>
        </w:r>
      </w:hyperlink>
      <w:r w:rsidR="00282153" w:rsidRPr="0011353F">
        <w:rPr>
          <w:color w:val="000000"/>
        </w:rPr>
        <w:t>.</w:t>
      </w:r>
      <w:r w:rsidR="006B6DB9" w:rsidRPr="0011353F">
        <w:t xml:space="preserve"> </w:t>
      </w:r>
    </w:p>
    <w:p w14:paraId="19E53425" w14:textId="77777777" w:rsidR="00396E07" w:rsidRPr="0011353F" w:rsidRDefault="00396E07" w:rsidP="00396E07">
      <w:pPr>
        <w:rPr>
          <w:szCs w:val="24"/>
        </w:rPr>
      </w:pPr>
    </w:p>
    <w:p w14:paraId="19E53426" w14:textId="098BADF5" w:rsidR="00430A0F" w:rsidRDefault="000C2D7C" w:rsidP="00D30794">
      <w:pPr>
        <w:tabs>
          <w:tab w:val="left" w:pos="2025"/>
        </w:tabs>
        <w:rPr>
          <w:szCs w:val="24"/>
        </w:rPr>
      </w:pPr>
      <w:r w:rsidRPr="0011353F">
        <w:t xml:space="preserve">Area eligibility determinations made using either school or census data must be re-determined every five years. </w:t>
      </w:r>
      <w:r w:rsidR="007167B2">
        <w:t xml:space="preserve"> </w:t>
      </w:r>
      <w:r w:rsidR="00076856" w:rsidRPr="0011353F">
        <w:t>O</w:t>
      </w:r>
      <w:r w:rsidRPr="0011353F">
        <w:t xml:space="preserve">nce a site establishes area eligibility, the eligibility </w:t>
      </w:r>
      <w:r w:rsidR="00110046" w:rsidRPr="0011353F">
        <w:t xml:space="preserve">is effective </w:t>
      </w:r>
      <w:r w:rsidRPr="0011353F">
        <w:t xml:space="preserve">for a period of five years, regardless of any transition from one </w:t>
      </w:r>
      <w:r w:rsidR="00AA0C35" w:rsidRPr="0011353F">
        <w:t>C</w:t>
      </w:r>
      <w:r w:rsidR="009B2B97" w:rsidRPr="0011353F">
        <w:t xml:space="preserve">hild </w:t>
      </w:r>
      <w:r w:rsidR="00AA0C35" w:rsidRPr="0011353F">
        <w:t>N</w:t>
      </w:r>
      <w:r w:rsidR="009B2B97" w:rsidRPr="0011353F">
        <w:t xml:space="preserve">utrition </w:t>
      </w:r>
      <w:r w:rsidRPr="0011353F">
        <w:t xml:space="preserve">Program to </w:t>
      </w:r>
      <w:r w:rsidR="00110046" w:rsidRPr="0011353F">
        <w:t>another</w:t>
      </w:r>
      <w:r w:rsidRPr="0011353F">
        <w:t xml:space="preserve">. </w:t>
      </w:r>
      <w:r w:rsidR="007167B2">
        <w:t xml:space="preserve"> </w:t>
      </w:r>
      <w:r w:rsidR="009858B0" w:rsidRPr="0011353F">
        <w:t xml:space="preserve">However, because area eligibility for CACFP at-risk afterschool meals must be based on school data, SFSP sites that established eligibility using census data must provide additional documentation indicating that they are area eligible based on school data to participate in CACFP at-risk afterschool meals. </w:t>
      </w:r>
      <w:r w:rsidR="00102450">
        <w:rPr>
          <w:szCs w:val="24"/>
        </w:rPr>
        <w:tab/>
      </w:r>
    </w:p>
    <w:p w14:paraId="19E53427" w14:textId="77777777" w:rsidR="00422DCF" w:rsidRDefault="00422DCF" w:rsidP="00ED0E77">
      <w:pPr>
        <w:pStyle w:val="Default"/>
        <w:rPr>
          <w:b/>
          <w:color w:val="auto"/>
        </w:rPr>
      </w:pPr>
    </w:p>
    <w:p w14:paraId="19E53428" w14:textId="77777777" w:rsidR="00ED0E77" w:rsidRPr="0011353F" w:rsidRDefault="00A53902" w:rsidP="00ED0E77">
      <w:pPr>
        <w:pStyle w:val="Default"/>
        <w:rPr>
          <w:b/>
          <w:color w:val="auto"/>
        </w:rPr>
      </w:pPr>
      <w:r w:rsidRPr="0011353F">
        <w:rPr>
          <w:b/>
          <w:color w:val="auto"/>
        </w:rPr>
        <w:t xml:space="preserve">Use of School Data </w:t>
      </w:r>
    </w:p>
    <w:p w14:paraId="19E53429" w14:textId="77777777" w:rsidR="00ED0E77" w:rsidRPr="0011353F" w:rsidRDefault="00ED0E77" w:rsidP="00ED0E77">
      <w:pPr>
        <w:pStyle w:val="Default"/>
        <w:rPr>
          <w:color w:val="auto"/>
          <w:u w:val="single"/>
        </w:rPr>
      </w:pPr>
    </w:p>
    <w:p w14:paraId="19E5342A" w14:textId="2955445F" w:rsidR="00ED0E77" w:rsidRPr="0011353F" w:rsidRDefault="00ED0E77" w:rsidP="00ED0E77">
      <w:pPr>
        <w:pStyle w:val="Default"/>
        <w:rPr>
          <w:color w:val="auto"/>
        </w:rPr>
      </w:pPr>
      <w:r w:rsidRPr="0011353F">
        <w:t xml:space="preserve">School data may be used to establish area eligibility for the CACFP and for SFSP and SSO, excluding </w:t>
      </w:r>
      <w:r w:rsidRPr="0011353F">
        <w:rPr>
          <w:color w:val="auto"/>
        </w:rPr>
        <w:t xml:space="preserve">camps. </w:t>
      </w:r>
      <w:r w:rsidR="009940D6">
        <w:rPr>
          <w:color w:val="auto"/>
        </w:rPr>
        <w:t xml:space="preserve"> </w:t>
      </w:r>
      <w:r w:rsidRPr="0011353F">
        <w:rPr>
          <w:color w:val="auto"/>
        </w:rPr>
        <w:t xml:space="preserve">In order for a site to be determined area eligible, school data must indicate that the proposed meal </w:t>
      </w:r>
      <w:r w:rsidR="00110046" w:rsidRPr="0011353F">
        <w:rPr>
          <w:color w:val="auto"/>
        </w:rPr>
        <w:t>site</w:t>
      </w:r>
      <w:r w:rsidRPr="0011353F">
        <w:rPr>
          <w:color w:val="auto"/>
        </w:rPr>
        <w:t xml:space="preserve"> is located in </w:t>
      </w:r>
      <w:r w:rsidR="00076856" w:rsidRPr="0011353F">
        <w:rPr>
          <w:color w:val="auto"/>
        </w:rPr>
        <w:t xml:space="preserve">the attendance area of </w:t>
      </w:r>
      <w:r w:rsidRPr="0011353F">
        <w:rPr>
          <w:color w:val="auto"/>
        </w:rPr>
        <w:t xml:space="preserve">a school where at </w:t>
      </w:r>
      <w:r w:rsidRPr="0011353F">
        <w:t xml:space="preserve">least 50 percent of the children are eligible for free or reduced price school meals. </w:t>
      </w:r>
      <w:r w:rsidR="009940D6">
        <w:t xml:space="preserve"> </w:t>
      </w:r>
      <w:r w:rsidR="00110046" w:rsidRPr="0011353F">
        <w:rPr>
          <w:shd w:val="clear" w:color="auto" w:fill="FFFFFF"/>
        </w:rPr>
        <w:t>To determine area eligibility i</w:t>
      </w:r>
      <w:r w:rsidRPr="0011353F">
        <w:rPr>
          <w:shd w:val="clear" w:color="auto" w:fill="FFFFFF"/>
        </w:rPr>
        <w:t xml:space="preserve">n </w:t>
      </w:r>
      <w:r w:rsidRPr="0011353F">
        <w:rPr>
          <w:sz w:val="23"/>
          <w:szCs w:val="23"/>
        </w:rPr>
        <w:t>situations where public schools routinely bus children from their neighborhood school to other schools</w:t>
      </w:r>
      <w:r w:rsidR="00110046" w:rsidRPr="0011353F">
        <w:rPr>
          <w:sz w:val="23"/>
          <w:szCs w:val="23"/>
        </w:rPr>
        <w:t>,</w:t>
      </w:r>
      <w:r w:rsidRPr="0011353F">
        <w:rPr>
          <w:sz w:val="23"/>
          <w:szCs w:val="23"/>
        </w:rPr>
        <w:t xml:space="preserve"> please see memorandum SP 11-2011</w:t>
      </w:r>
      <w:r w:rsidR="00110046" w:rsidRPr="0011353F">
        <w:rPr>
          <w:sz w:val="23"/>
          <w:szCs w:val="23"/>
        </w:rPr>
        <w:t>,</w:t>
      </w:r>
      <w:r w:rsidRPr="0011353F">
        <w:rPr>
          <w:sz w:val="23"/>
          <w:szCs w:val="23"/>
        </w:rPr>
        <w:t xml:space="preserve"> CACFP 02-2011</w:t>
      </w:r>
      <w:r w:rsidR="00110046" w:rsidRPr="0011353F">
        <w:rPr>
          <w:sz w:val="23"/>
          <w:szCs w:val="23"/>
        </w:rPr>
        <w:t>,</w:t>
      </w:r>
      <w:r w:rsidRPr="0011353F">
        <w:rPr>
          <w:sz w:val="23"/>
          <w:szCs w:val="23"/>
        </w:rPr>
        <w:t xml:space="preserve"> SFSP 01-2011, </w:t>
      </w:r>
      <w:r w:rsidRPr="0011353F">
        <w:rPr>
          <w:i/>
          <w:sz w:val="23"/>
          <w:szCs w:val="23"/>
        </w:rPr>
        <w:t>Effects of Busing on Area Eligibility in the Child and Adult Care Food Program, the Summer Food Service Program, and the Afterschool Snack and the Seamless Summer Option served through the National School Lunch Program</w:t>
      </w:r>
      <w:r w:rsidRPr="0011353F">
        <w:rPr>
          <w:sz w:val="23"/>
          <w:szCs w:val="23"/>
        </w:rPr>
        <w:t>, December 6, 2010</w:t>
      </w:r>
      <w:r w:rsidR="00AA0C35" w:rsidRPr="0011353F">
        <w:rPr>
          <w:sz w:val="23"/>
          <w:szCs w:val="23"/>
        </w:rPr>
        <w:t xml:space="preserve">, </w:t>
      </w:r>
      <w:hyperlink r:id="rId14" w:history="1">
        <w:r w:rsidR="00C27F6B" w:rsidRPr="0011353F">
          <w:rPr>
            <w:rStyle w:val="Hyperlink"/>
            <w:sz w:val="23"/>
            <w:szCs w:val="23"/>
          </w:rPr>
          <w:t>http://www.fns.usda.gov/effects-busing-area-eligibility-cacfp-sfsp-and-afterschool-snack-and-seamless-summer-option-served</w:t>
        </w:r>
      </w:hyperlink>
      <w:r w:rsidR="00E04095" w:rsidRPr="0011353F">
        <w:rPr>
          <w:sz w:val="23"/>
          <w:szCs w:val="23"/>
        </w:rPr>
        <w:t>.</w:t>
      </w:r>
    </w:p>
    <w:p w14:paraId="19E5342B" w14:textId="77777777" w:rsidR="00ED0E77" w:rsidRPr="0011353F" w:rsidRDefault="00ED0E77" w:rsidP="00ED0E77">
      <w:pPr>
        <w:rPr>
          <w:szCs w:val="24"/>
        </w:rPr>
      </w:pPr>
    </w:p>
    <w:p w14:paraId="19E5342C" w14:textId="497C2E05" w:rsidR="00ED0E77" w:rsidRPr="0011353F" w:rsidRDefault="00ED0E77" w:rsidP="00ED0E77">
      <w:pPr>
        <w:rPr>
          <w:szCs w:val="24"/>
        </w:rPr>
      </w:pPr>
      <w:r w:rsidRPr="0011353F">
        <w:rPr>
          <w:szCs w:val="24"/>
        </w:rPr>
        <w:t xml:space="preserve">CACFP regulations require State agencies to coordinate with their State’s NSLP administering agency to obtain a list of schools, including elementary, middle, and high schools in the State where at least 50 percent of their enrolled children are eligible for free or reduced price school meals. </w:t>
      </w:r>
      <w:r w:rsidR="00D22AF6">
        <w:rPr>
          <w:szCs w:val="24"/>
        </w:rPr>
        <w:t xml:space="preserve"> </w:t>
      </w:r>
      <w:r w:rsidRPr="0011353F">
        <w:rPr>
          <w:szCs w:val="24"/>
        </w:rPr>
        <w:t xml:space="preserve">This information must be provided by the NSLP State agency each year by </w:t>
      </w:r>
    </w:p>
    <w:p w14:paraId="19E5342D" w14:textId="3BFE4385" w:rsidR="00ED0E77" w:rsidRPr="0011353F" w:rsidRDefault="00ED0E77" w:rsidP="00ED0E77">
      <w:pPr>
        <w:rPr>
          <w:szCs w:val="24"/>
        </w:rPr>
      </w:pPr>
      <w:r w:rsidRPr="0011353F">
        <w:rPr>
          <w:szCs w:val="24"/>
        </w:rPr>
        <w:t>February 15, and must be based on data from a designated month, most commonly the month of October [</w:t>
      </w:r>
      <w:r w:rsidR="00AF3F73" w:rsidRPr="0011353F">
        <w:rPr>
          <w:szCs w:val="24"/>
        </w:rPr>
        <w:t xml:space="preserve">7 CFR 210.9(b); </w:t>
      </w:r>
      <w:r w:rsidRPr="0011353F">
        <w:rPr>
          <w:szCs w:val="24"/>
        </w:rPr>
        <w:t>7 CFR 226.6(f</w:t>
      </w:r>
      <w:proofErr w:type="gramStart"/>
      <w:r w:rsidRPr="0011353F">
        <w:rPr>
          <w:szCs w:val="24"/>
        </w:rPr>
        <w:t>)(</w:t>
      </w:r>
      <w:proofErr w:type="gramEnd"/>
      <w:r w:rsidRPr="0011353F">
        <w:rPr>
          <w:szCs w:val="24"/>
        </w:rPr>
        <w:t>1)(viii)(A)</w:t>
      </w:r>
      <w:r w:rsidR="00AF3F73" w:rsidRPr="0011353F">
        <w:rPr>
          <w:szCs w:val="24"/>
        </w:rPr>
        <w:t>;</w:t>
      </w:r>
      <w:r w:rsidRPr="0011353F">
        <w:rPr>
          <w:szCs w:val="24"/>
        </w:rPr>
        <w:t xml:space="preserve"> and 226.6(f)(1)(ix)(A)]. </w:t>
      </w:r>
      <w:r w:rsidR="00D22AF6">
        <w:rPr>
          <w:szCs w:val="24"/>
        </w:rPr>
        <w:t xml:space="preserve"> </w:t>
      </w:r>
      <w:r w:rsidRPr="0011353F">
        <w:rPr>
          <w:szCs w:val="24"/>
        </w:rPr>
        <w:t xml:space="preserve">While SFSP regulations do not require State agencies to designate the use of school data from one particular month, FNS encourages using school data from the month designated for CACFP. </w:t>
      </w:r>
    </w:p>
    <w:p w14:paraId="19E5342E" w14:textId="77777777" w:rsidR="00ED0E77" w:rsidRPr="0011353F" w:rsidRDefault="00ED0E77" w:rsidP="00ED0E77">
      <w:pPr>
        <w:rPr>
          <w:szCs w:val="24"/>
        </w:rPr>
      </w:pPr>
    </w:p>
    <w:p w14:paraId="19E5342F" w14:textId="77777777" w:rsidR="00ED0E77" w:rsidRPr="0011353F" w:rsidRDefault="00ED0E77" w:rsidP="00ED0E77">
      <w:pPr>
        <w:rPr>
          <w:szCs w:val="24"/>
        </w:rPr>
      </w:pPr>
      <w:r w:rsidRPr="0011353F">
        <w:rPr>
          <w:szCs w:val="24"/>
        </w:rPr>
        <w:t xml:space="preserve">At the discretion of the applicable CACFP and SFSP State agencies, in situations where data from a more recent month in the school year is available and would establish area eligibility for an otherwise ineligible location, school data from that month </w:t>
      </w:r>
      <w:r w:rsidR="00AF3F73" w:rsidRPr="0011353F">
        <w:rPr>
          <w:szCs w:val="24"/>
        </w:rPr>
        <w:t xml:space="preserve">now </w:t>
      </w:r>
      <w:r w:rsidRPr="0011353F">
        <w:rPr>
          <w:szCs w:val="24"/>
        </w:rPr>
        <w:t xml:space="preserve">may be used to establish area eligibility. </w:t>
      </w:r>
    </w:p>
    <w:p w14:paraId="19E53430" w14:textId="77777777" w:rsidR="00ED0E77" w:rsidRPr="0011353F" w:rsidRDefault="00ED0E77" w:rsidP="00396E07">
      <w:pPr>
        <w:rPr>
          <w:b/>
          <w:szCs w:val="24"/>
        </w:rPr>
      </w:pPr>
    </w:p>
    <w:p w14:paraId="19E53431" w14:textId="25CC14D5" w:rsidR="00393C3D" w:rsidRPr="0011353F" w:rsidRDefault="00D8222E" w:rsidP="00393C3D">
      <w:pPr>
        <w:rPr>
          <w:color w:val="000000"/>
          <w:szCs w:val="24"/>
        </w:rPr>
      </w:pPr>
      <w:r>
        <w:rPr>
          <w:i/>
          <w:iCs/>
          <w:color w:val="000000"/>
          <w:szCs w:val="24"/>
          <w:u w:val="single"/>
        </w:rPr>
        <w:t>Community Eligibility Provision</w:t>
      </w:r>
    </w:p>
    <w:p w14:paraId="19E53432" w14:textId="2EE36775" w:rsidR="00183846" w:rsidRPr="0011353F" w:rsidRDefault="00183846" w:rsidP="00183846">
      <w:pPr>
        <w:rPr>
          <w:szCs w:val="24"/>
          <w:bdr w:val="none" w:sz="0" w:space="0" w:color="auto" w:frame="1"/>
        </w:rPr>
      </w:pPr>
      <w:r w:rsidRPr="0011353F">
        <w:rPr>
          <w:szCs w:val="24"/>
          <w:bdr w:val="none" w:sz="0" w:space="0" w:color="auto" w:frame="1"/>
        </w:rPr>
        <w:t>As an alternative to collecting individual applications for free and reduced price meals,</w:t>
      </w:r>
      <w:r w:rsidR="00774965">
        <w:rPr>
          <w:szCs w:val="24"/>
          <w:bdr w:val="none" w:sz="0" w:space="0" w:color="auto" w:frame="1"/>
        </w:rPr>
        <w:t xml:space="preserve"> </w:t>
      </w:r>
      <w:r w:rsidRPr="0011353F">
        <w:rPr>
          <w:szCs w:val="24"/>
          <w:bdr w:val="none" w:sz="0" w:space="0" w:color="auto" w:frame="1"/>
        </w:rPr>
        <w:t xml:space="preserve">the </w:t>
      </w:r>
      <w:r w:rsidR="00D8222E">
        <w:rPr>
          <w:szCs w:val="24"/>
          <w:bdr w:val="none" w:sz="0" w:space="0" w:color="auto" w:frame="1"/>
        </w:rPr>
        <w:t>CEP</w:t>
      </w:r>
      <w:r w:rsidR="00774965" w:rsidRPr="00774965">
        <w:t xml:space="preserve"> </w:t>
      </w:r>
      <w:r w:rsidR="00774965">
        <w:t>allows schools and local education agenc</w:t>
      </w:r>
      <w:r w:rsidR="00C954A0">
        <w:t>ies</w:t>
      </w:r>
      <w:r w:rsidR="00774965">
        <w:t xml:space="preserve"> with a high percentage of low-income children to offer</w:t>
      </w:r>
      <w:r w:rsidR="00774965" w:rsidRPr="00A03345">
        <w:t xml:space="preserve"> </w:t>
      </w:r>
      <w:r w:rsidR="00774965">
        <w:t>free meals to all students</w:t>
      </w:r>
      <w:r w:rsidR="00774965">
        <w:rPr>
          <w:szCs w:val="24"/>
          <w:bdr w:val="none" w:sz="0" w:space="0" w:color="auto" w:frame="1"/>
        </w:rPr>
        <w:t xml:space="preserve">. </w:t>
      </w:r>
      <w:r w:rsidR="00D22AF6">
        <w:rPr>
          <w:szCs w:val="24"/>
          <w:bdr w:val="none" w:sz="0" w:space="0" w:color="auto" w:frame="1"/>
        </w:rPr>
        <w:t xml:space="preserve"> </w:t>
      </w:r>
      <w:r w:rsidR="00774965">
        <w:rPr>
          <w:szCs w:val="24"/>
          <w:bdr w:val="none" w:sz="0" w:space="0" w:color="auto" w:frame="1"/>
        </w:rPr>
        <w:t xml:space="preserve">Qualifying schools serve free lunch and breakfast through the </w:t>
      </w:r>
      <w:r w:rsidR="00C954A0">
        <w:rPr>
          <w:szCs w:val="24"/>
          <w:bdr w:val="none" w:sz="0" w:space="0" w:color="auto" w:frame="1"/>
        </w:rPr>
        <w:t>N</w:t>
      </w:r>
      <w:r w:rsidRPr="0011353F">
        <w:rPr>
          <w:szCs w:val="24"/>
          <w:bdr w:val="none" w:sz="0" w:space="0" w:color="auto" w:frame="1"/>
        </w:rPr>
        <w:t>SLP and School Breakfast Program.</w:t>
      </w:r>
      <w:r w:rsidR="00D22AF6">
        <w:rPr>
          <w:szCs w:val="24"/>
          <w:bdr w:val="none" w:sz="0" w:space="0" w:color="auto" w:frame="1"/>
        </w:rPr>
        <w:t xml:space="preserve">  </w:t>
      </w:r>
      <w:r w:rsidR="000770E9">
        <w:rPr>
          <w:szCs w:val="24"/>
        </w:rPr>
        <w:t>School districts e</w:t>
      </w:r>
      <w:r w:rsidR="000770E9" w:rsidRPr="0011353F">
        <w:rPr>
          <w:szCs w:val="24"/>
        </w:rPr>
        <w:t xml:space="preserve">lecting CEP must continue to provide to </w:t>
      </w:r>
      <w:r w:rsidR="000770E9" w:rsidRPr="0011353F">
        <w:rPr>
          <w:szCs w:val="24"/>
        </w:rPr>
        <w:lastRenderedPageBreak/>
        <w:t>the NSLP State agency a list of schools under its jurisdiction in which 50 percent or more of enrolled children have been determined eligible for free or reduced price meals</w:t>
      </w:r>
    </w:p>
    <w:p w14:paraId="19E53433" w14:textId="77777777" w:rsidR="00183846" w:rsidRPr="0011353F" w:rsidRDefault="00183846" w:rsidP="00183846">
      <w:pPr>
        <w:rPr>
          <w:szCs w:val="24"/>
          <w:bdr w:val="none" w:sz="0" w:space="0" w:color="auto" w:frame="1"/>
        </w:rPr>
      </w:pPr>
    </w:p>
    <w:p w14:paraId="19E53434" w14:textId="72D2FB9E" w:rsidR="00183846" w:rsidRPr="0011353F" w:rsidRDefault="00183846" w:rsidP="000568F3">
      <w:pPr>
        <w:rPr>
          <w:szCs w:val="24"/>
        </w:rPr>
      </w:pPr>
      <w:r w:rsidRPr="0011353F">
        <w:rPr>
          <w:szCs w:val="24"/>
        </w:rPr>
        <w:t xml:space="preserve">Area eligibility determinations </w:t>
      </w:r>
      <w:r w:rsidR="000B620B">
        <w:rPr>
          <w:szCs w:val="24"/>
        </w:rPr>
        <w:t xml:space="preserve">based on data from </w:t>
      </w:r>
      <w:r w:rsidRPr="0011353F">
        <w:rPr>
          <w:szCs w:val="24"/>
        </w:rPr>
        <w:t xml:space="preserve">schools electing CEP as part of a group of schools or a school district must still </w:t>
      </w:r>
      <w:r w:rsidR="000B620B">
        <w:rPr>
          <w:szCs w:val="24"/>
        </w:rPr>
        <w:t>use</w:t>
      </w:r>
      <w:r w:rsidRPr="0011353F">
        <w:rPr>
          <w:szCs w:val="24"/>
        </w:rPr>
        <w:t xml:space="preserve"> the individual school data rather than district-wide data for SFSP</w:t>
      </w:r>
      <w:r w:rsidR="006A3E78">
        <w:rPr>
          <w:szCs w:val="24"/>
        </w:rPr>
        <w:t xml:space="preserve"> sites</w:t>
      </w:r>
      <w:r w:rsidRPr="0011353F">
        <w:rPr>
          <w:szCs w:val="24"/>
        </w:rPr>
        <w:t>, SSO</w:t>
      </w:r>
      <w:r w:rsidR="006A3E78">
        <w:rPr>
          <w:szCs w:val="24"/>
        </w:rPr>
        <w:t xml:space="preserve"> sites</w:t>
      </w:r>
      <w:r w:rsidRPr="0011353F">
        <w:rPr>
          <w:szCs w:val="24"/>
        </w:rPr>
        <w:t>, CACFP at-risk afterschool centers</w:t>
      </w:r>
      <w:r w:rsidR="00AF3F73" w:rsidRPr="0011353F">
        <w:rPr>
          <w:szCs w:val="24"/>
        </w:rPr>
        <w:t>,</w:t>
      </w:r>
      <w:r w:rsidRPr="0011353F">
        <w:rPr>
          <w:szCs w:val="24"/>
        </w:rPr>
        <w:t xml:space="preserve"> CACFP day care home </w:t>
      </w:r>
      <w:proofErr w:type="spellStart"/>
      <w:r w:rsidRPr="0011353F">
        <w:rPr>
          <w:szCs w:val="24"/>
        </w:rPr>
        <w:t>tiering</w:t>
      </w:r>
      <w:proofErr w:type="spellEnd"/>
      <w:r w:rsidR="002530A2">
        <w:rPr>
          <w:szCs w:val="24"/>
        </w:rPr>
        <w:t>,</w:t>
      </w:r>
      <w:r w:rsidRPr="0011353F">
        <w:rPr>
          <w:szCs w:val="24"/>
        </w:rPr>
        <w:t xml:space="preserve"> </w:t>
      </w:r>
      <w:r w:rsidR="00AF3F73" w:rsidRPr="0011353F">
        <w:rPr>
          <w:szCs w:val="24"/>
        </w:rPr>
        <w:t xml:space="preserve">and </w:t>
      </w:r>
      <w:r w:rsidRPr="0011353F">
        <w:rPr>
          <w:szCs w:val="24"/>
        </w:rPr>
        <w:t>NSLP snacks.</w:t>
      </w:r>
      <w:r w:rsidR="00D22AF6">
        <w:rPr>
          <w:szCs w:val="24"/>
        </w:rPr>
        <w:t xml:space="preserve"> </w:t>
      </w:r>
      <w:r w:rsidRPr="0011353F">
        <w:rPr>
          <w:szCs w:val="24"/>
        </w:rPr>
        <w:t xml:space="preserve"> </w:t>
      </w:r>
      <w:r w:rsidR="000B620B">
        <w:rPr>
          <w:szCs w:val="24"/>
        </w:rPr>
        <w:t>These individual school data are obtained by multiplying t</w:t>
      </w:r>
      <w:r w:rsidRPr="0011353F">
        <w:rPr>
          <w:szCs w:val="24"/>
        </w:rPr>
        <w:t>he most current school level identified student percentage</w:t>
      </w:r>
      <w:r w:rsidR="00533C8A">
        <w:rPr>
          <w:szCs w:val="24"/>
        </w:rPr>
        <w:t xml:space="preserve"> (ISP)</w:t>
      </w:r>
      <w:r w:rsidR="00D22AF6">
        <w:rPr>
          <w:szCs w:val="24"/>
        </w:rPr>
        <w:t xml:space="preserve"> by the </w:t>
      </w:r>
      <w:r w:rsidRPr="0011353F">
        <w:rPr>
          <w:szCs w:val="24"/>
        </w:rPr>
        <w:t>1.6 factor</w:t>
      </w:r>
      <w:r w:rsidR="00C46686">
        <w:rPr>
          <w:szCs w:val="24"/>
        </w:rPr>
        <w:t xml:space="preserve">. </w:t>
      </w:r>
      <w:r w:rsidR="00D22AF6">
        <w:rPr>
          <w:szCs w:val="24"/>
        </w:rPr>
        <w:t xml:space="preserve"> </w:t>
      </w:r>
      <w:r w:rsidR="00C46686">
        <w:rPr>
          <w:szCs w:val="24"/>
        </w:rPr>
        <w:t xml:space="preserve">If the result is equal to or greater than </w:t>
      </w:r>
      <w:r w:rsidRPr="0011353F">
        <w:rPr>
          <w:szCs w:val="24"/>
        </w:rPr>
        <w:t>50 percent</w:t>
      </w:r>
      <w:r w:rsidR="00C46686">
        <w:rPr>
          <w:szCs w:val="24"/>
        </w:rPr>
        <w:t xml:space="preserve">, </w:t>
      </w:r>
      <w:r w:rsidR="00533C8A" w:rsidRPr="0011353F">
        <w:t>meal site</w:t>
      </w:r>
      <w:r w:rsidR="00C46686">
        <w:t xml:space="preserve">s </w:t>
      </w:r>
      <w:r w:rsidR="00533C8A" w:rsidRPr="0011353F">
        <w:t xml:space="preserve">located in the attendance area of </w:t>
      </w:r>
      <w:r w:rsidR="00C46686">
        <w:t xml:space="preserve">the </w:t>
      </w:r>
      <w:r w:rsidR="00533C8A" w:rsidRPr="0011353F">
        <w:t xml:space="preserve">school </w:t>
      </w:r>
      <w:r w:rsidR="00C46686">
        <w:t xml:space="preserve">are area eligible. </w:t>
      </w:r>
      <w:r w:rsidR="00D22AF6">
        <w:t xml:space="preserve"> </w:t>
      </w:r>
      <w:r w:rsidRPr="0011353F">
        <w:rPr>
          <w:szCs w:val="24"/>
        </w:rPr>
        <w:t>If a school electing CEP collects alternate household income information to be used for other purposes, school data based on these applications may not be used to determine area eligibility.</w:t>
      </w:r>
    </w:p>
    <w:p w14:paraId="19E53435" w14:textId="77777777" w:rsidR="00183846" w:rsidRPr="0011353F" w:rsidRDefault="00183846" w:rsidP="00183846">
      <w:pPr>
        <w:rPr>
          <w:szCs w:val="24"/>
        </w:rPr>
      </w:pPr>
    </w:p>
    <w:p w14:paraId="19E53436" w14:textId="77777777" w:rsidR="000770E9" w:rsidRPr="0011353F" w:rsidRDefault="000770E9" w:rsidP="000770E9">
      <w:pPr>
        <w:rPr>
          <w:szCs w:val="24"/>
        </w:rPr>
      </w:pPr>
      <w:r w:rsidRPr="0011353F">
        <w:rPr>
          <w:szCs w:val="24"/>
          <w:bdr w:val="none" w:sz="0" w:space="0" w:color="auto" w:frame="1"/>
        </w:rPr>
        <w:t>For</w:t>
      </w:r>
      <w:r w:rsidRPr="0011353F">
        <w:rPr>
          <w:color w:val="000000"/>
          <w:szCs w:val="24"/>
          <w:bdr w:val="none" w:sz="0" w:space="0" w:color="auto" w:frame="1"/>
        </w:rPr>
        <w:t xml:space="preserve"> more information on CEP, see </w:t>
      </w:r>
      <w:hyperlink r:id="rId15" w:tooltip="http://www.fns.usda.gov/school-meals/community-eligibility-provision" w:history="1">
        <w:r w:rsidRPr="0011353F">
          <w:rPr>
            <w:rStyle w:val="Hyperlink"/>
            <w:szCs w:val="24"/>
          </w:rPr>
          <w:t>http://www.fns.usda.gov/school-meals/community-eligibility-provision</w:t>
        </w:r>
      </w:hyperlink>
      <w:r w:rsidR="002530A2">
        <w:t>.</w:t>
      </w:r>
    </w:p>
    <w:p w14:paraId="19E53437" w14:textId="77777777" w:rsidR="00687A34" w:rsidRPr="0011353F" w:rsidRDefault="00687A34" w:rsidP="00396E07">
      <w:pPr>
        <w:rPr>
          <w:b/>
          <w:szCs w:val="24"/>
        </w:rPr>
      </w:pPr>
    </w:p>
    <w:p w14:paraId="19E53438" w14:textId="77777777" w:rsidR="00396E07" w:rsidRPr="0011353F" w:rsidRDefault="00282153" w:rsidP="00396E07">
      <w:pPr>
        <w:rPr>
          <w:b/>
          <w:szCs w:val="24"/>
        </w:rPr>
      </w:pPr>
      <w:r w:rsidRPr="0011353F">
        <w:rPr>
          <w:b/>
          <w:szCs w:val="24"/>
        </w:rPr>
        <w:t>Use of Census Data</w:t>
      </w:r>
    </w:p>
    <w:p w14:paraId="19E53439" w14:textId="77777777" w:rsidR="00396E07" w:rsidRPr="0011353F" w:rsidRDefault="00396E07" w:rsidP="00396E07">
      <w:pPr>
        <w:rPr>
          <w:szCs w:val="24"/>
        </w:rPr>
      </w:pPr>
    </w:p>
    <w:p w14:paraId="3F66B0D5" w14:textId="77777777" w:rsidR="00D22AF6" w:rsidRDefault="009E554D" w:rsidP="00396E07">
      <w:pPr>
        <w:rPr>
          <w:szCs w:val="24"/>
        </w:rPr>
      </w:pPr>
      <w:r w:rsidRPr="0011353F">
        <w:rPr>
          <w:szCs w:val="24"/>
        </w:rPr>
        <w:t>CACFP day care homes</w:t>
      </w:r>
      <w:r w:rsidR="00D80309">
        <w:rPr>
          <w:szCs w:val="24"/>
        </w:rPr>
        <w:t xml:space="preserve"> and </w:t>
      </w:r>
      <w:r w:rsidR="00FC16DE">
        <w:rPr>
          <w:szCs w:val="24"/>
        </w:rPr>
        <w:t xml:space="preserve">SFSP </w:t>
      </w:r>
      <w:r w:rsidRPr="0011353F">
        <w:rPr>
          <w:szCs w:val="24"/>
        </w:rPr>
        <w:t>and S</w:t>
      </w:r>
      <w:r w:rsidR="00FC16DE">
        <w:rPr>
          <w:szCs w:val="24"/>
        </w:rPr>
        <w:t>SO</w:t>
      </w:r>
      <w:r w:rsidRPr="0011353F">
        <w:rPr>
          <w:szCs w:val="24"/>
        </w:rPr>
        <w:t xml:space="preserve"> sites that establish eligibility using census data are required to use the most recent census data available </w:t>
      </w:r>
      <w:r w:rsidR="007F3B23" w:rsidRPr="0011353F">
        <w:rPr>
          <w:szCs w:val="24"/>
        </w:rPr>
        <w:t>[</w:t>
      </w:r>
      <w:r w:rsidRPr="0011353F">
        <w:rPr>
          <w:szCs w:val="24"/>
        </w:rPr>
        <w:t>7 CFR 226.6(f); 7 CFR 225.6(c</w:t>
      </w:r>
      <w:r w:rsidR="007F3B23" w:rsidRPr="0011353F">
        <w:rPr>
          <w:szCs w:val="24"/>
        </w:rPr>
        <w:t>)</w:t>
      </w:r>
      <w:r w:rsidR="00D22AF6">
        <w:rPr>
          <w:szCs w:val="24"/>
        </w:rPr>
        <w:t>;</w:t>
      </w:r>
    </w:p>
    <w:p w14:paraId="19E5343A" w14:textId="6ED442C0" w:rsidR="00366216" w:rsidRPr="0011353F" w:rsidRDefault="00FC16DE" w:rsidP="00396E07">
      <w:pPr>
        <w:rPr>
          <w:szCs w:val="24"/>
        </w:rPr>
      </w:pPr>
      <w:r>
        <w:rPr>
          <w:szCs w:val="24"/>
        </w:rPr>
        <w:t>SP 39-2014</w:t>
      </w:r>
      <w:r w:rsidR="007F3B23" w:rsidRPr="0011353F">
        <w:rPr>
          <w:szCs w:val="24"/>
        </w:rPr>
        <w:t>].</w:t>
      </w:r>
      <w:r w:rsidR="00FF4933">
        <w:rPr>
          <w:szCs w:val="24"/>
        </w:rPr>
        <w:t xml:space="preserve"> </w:t>
      </w:r>
      <w:r w:rsidR="00D22AF6">
        <w:rPr>
          <w:szCs w:val="24"/>
        </w:rPr>
        <w:t xml:space="preserve"> </w:t>
      </w:r>
      <w:r w:rsidR="00396E07" w:rsidRPr="0011353F">
        <w:rPr>
          <w:szCs w:val="24"/>
        </w:rPr>
        <w:t>In 2005, the Census Bureau began to annually estimate household income using the American Community Survey (ACS)</w:t>
      </w:r>
      <w:r w:rsidR="003C7AF9" w:rsidRPr="0011353F">
        <w:rPr>
          <w:szCs w:val="24"/>
        </w:rPr>
        <w:t>.</w:t>
      </w:r>
      <w:r w:rsidR="00D22AF6">
        <w:rPr>
          <w:szCs w:val="24"/>
        </w:rPr>
        <w:t xml:space="preserve"> </w:t>
      </w:r>
      <w:r w:rsidR="003C7AF9" w:rsidRPr="0011353F">
        <w:rPr>
          <w:szCs w:val="24"/>
        </w:rPr>
        <w:t xml:space="preserve"> </w:t>
      </w:r>
      <w:r w:rsidR="00396E07" w:rsidRPr="0011353F">
        <w:rPr>
          <w:szCs w:val="24"/>
        </w:rPr>
        <w:t>The ACS is an ongoing survey that provides annual estimates, based on sampling data, in order to give communities more current information than the decennial census is able to provide</w:t>
      </w:r>
      <w:r w:rsidR="003C7AF9" w:rsidRPr="0011353F">
        <w:rPr>
          <w:szCs w:val="24"/>
        </w:rPr>
        <w:t xml:space="preserve">. </w:t>
      </w:r>
    </w:p>
    <w:p w14:paraId="19E5343B" w14:textId="77777777" w:rsidR="00366216" w:rsidRPr="0011353F" w:rsidRDefault="00366216" w:rsidP="00396E07">
      <w:pPr>
        <w:rPr>
          <w:szCs w:val="24"/>
        </w:rPr>
      </w:pPr>
    </w:p>
    <w:p w14:paraId="19E5343C" w14:textId="7138E2EA" w:rsidR="006A3E78" w:rsidRDefault="00396E07" w:rsidP="00533C8A">
      <w:pPr>
        <w:rPr>
          <w:i/>
          <w:szCs w:val="24"/>
          <w:u w:val="single"/>
        </w:rPr>
      </w:pPr>
      <w:r w:rsidRPr="0011353F">
        <w:rPr>
          <w:szCs w:val="24"/>
        </w:rPr>
        <w:t xml:space="preserve">In 2012, </w:t>
      </w:r>
      <w:r w:rsidR="00D953D9" w:rsidRPr="0011353F">
        <w:rPr>
          <w:szCs w:val="24"/>
        </w:rPr>
        <w:t>FNS announced the</w:t>
      </w:r>
      <w:r w:rsidR="00B85C18" w:rsidRPr="0011353F">
        <w:rPr>
          <w:szCs w:val="24"/>
        </w:rPr>
        <w:t xml:space="preserve"> </w:t>
      </w:r>
      <w:r w:rsidRPr="0011353F">
        <w:rPr>
          <w:szCs w:val="24"/>
        </w:rPr>
        <w:t>rel</w:t>
      </w:r>
      <w:r w:rsidR="00B85C18" w:rsidRPr="0011353F">
        <w:rPr>
          <w:szCs w:val="24"/>
        </w:rPr>
        <w:t>ease</w:t>
      </w:r>
      <w:r w:rsidR="00D953D9" w:rsidRPr="0011353F">
        <w:rPr>
          <w:szCs w:val="24"/>
        </w:rPr>
        <w:t xml:space="preserve"> </w:t>
      </w:r>
      <w:r w:rsidR="00B85C18" w:rsidRPr="0011353F">
        <w:rPr>
          <w:szCs w:val="24"/>
        </w:rPr>
        <w:t>of these ACS data annually via memorandum.</w:t>
      </w:r>
      <w:r w:rsidR="00D22AF6">
        <w:rPr>
          <w:szCs w:val="24"/>
        </w:rPr>
        <w:t xml:space="preserve"> </w:t>
      </w:r>
      <w:r w:rsidR="00C5364E">
        <w:rPr>
          <w:szCs w:val="24"/>
        </w:rPr>
        <w:t xml:space="preserve"> Beginning in Fiscal Year 2015, </w:t>
      </w:r>
      <w:r w:rsidR="00B85C18" w:rsidRPr="0011353F">
        <w:rPr>
          <w:szCs w:val="24"/>
        </w:rPr>
        <w:t xml:space="preserve">FNS will </w:t>
      </w:r>
      <w:r w:rsidR="00366216" w:rsidRPr="0011353F">
        <w:rPr>
          <w:szCs w:val="24"/>
        </w:rPr>
        <w:t xml:space="preserve">annually </w:t>
      </w:r>
      <w:r w:rsidR="00B85C18" w:rsidRPr="0011353F">
        <w:rPr>
          <w:szCs w:val="24"/>
        </w:rPr>
        <w:t>announce the release of these data to</w:t>
      </w:r>
      <w:r w:rsidR="00D8222E">
        <w:rPr>
          <w:szCs w:val="24"/>
        </w:rPr>
        <w:t xml:space="preserve"> State agencies via </w:t>
      </w:r>
      <w:proofErr w:type="spellStart"/>
      <w:r w:rsidR="00D8222E">
        <w:rPr>
          <w:szCs w:val="24"/>
        </w:rPr>
        <w:t>PartnerWeb</w:t>
      </w:r>
      <w:proofErr w:type="spellEnd"/>
      <w:r w:rsidR="00D8222E">
        <w:rPr>
          <w:szCs w:val="24"/>
        </w:rPr>
        <w:t xml:space="preserve"> at </w:t>
      </w:r>
      <w:hyperlink r:id="rId16" w:history="1">
        <w:r w:rsidR="00B85C18" w:rsidRPr="0011353F">
          <w:rPr>
            <w:rStyle w:val="Hyperlink"/>
            <w:szCs w:val="24"/>
          </w:rPr>
          <w:t>https://www.partnerweb.usda.gov</w:t>
        </w:r>
      </w:hyperlink>
      <w:r w:rsidR="00B85C18" w:rsidRPr="0011353F">
        <w:rPr>
          <w:szCs w:val="24"/>
        </w:rPr>
        <w:t xml:space="preserve"> and</w:t>
      </w:r>
      <w:r w:rsidR="00D8222E">
        <w:rPr>
          <w:szCs w:val="24"/>
        </w:rPr>
        <w:t xml:space="preserve"> to the public via GovDelivery at </w:t>
      </w:r>
      <w:hyperlink r:id="rId17" w:history="1">
        <w:r w:rsidR="00B85C18" w:rsidRPr="0011353F">
          <w:rPr>
            <w:rStyle w:val="Hyperlink"/>
            <w:szCs w:val="24"/>
          </w:rPr>
          <w:t>https://public.govdelivery.com/accounts/USFNS/subscriber/new?pop=t</w:t>
        </w:r>
      </w:hyperlink>
      <w:r w:rsidR="003C7AF9" w:rsidRPr="0011353F">
        <w:rPr>
          <w:szCs w:val="24"/>
        </w:rPr>
        <w:t xml:space="preserve">. </w:t>
      </w:r>
      <w:r w:rsidR="00D22AF6">
        <w:rPr>
          <w:szCs w:val="24"/>
        </w:rPr>
        <w:t xml:space="preserve"> </w:t>
      </w:r>
      <w:r w:rsidR="00366216" w:rsidRPr="0011353F">
        <w:rPr>
          <w:szCs w:val="24"/>
        </w:rPr>
        <w:t>These data will be released in October to encourage early</w:t>
      </w:r>
      <w:r w:rsidR="00DB5BB4" w:rsidRPr="0011353F">
        <w:rPr>
          <w:szCs w:val="24"/>
        </w:rPr>
        <w:t xml:space="preserve"> recruitment and approval of SF</w:t>
      </w:r>
      <w:r w:rsidR="00366216" w:rsidRPr="0011353F">
        <w:rPr>
          <w:szCs w:val="24"/>
        </w:rPr>
        <w:t xml:space="preserve">SP and SSO sites and increase </w:t>
      </w:r>
      <w:r w:rsidR="007F3B23" w:rsidRPr="0011353F">
        <w:rPr>
          <w:szCs w:val="24"/>
        </w:rPr>
        <w:t xml:space="preserve">Program </w:t>
      </w:r>
      <w:r w:rsidR="00366216" w:rsidRPr="0011353F">
        <w:rPr>
          <w:szCs w:val="24"/>
        </w:rPr>
        <w:t>access.</w:t>
      </w:r>
    </w:p>
    <w:p w14:paraId="19E5343D" w14:textId="77777777" w:rsidR="006A3E78" w:rsidRDefault="006A3E78" w:rsidP="00533C8A">
      <w:pPr>
        <w:rPr>
          <w:i/>
          <w:szCs w:val="24"/>
          <w:u w:val="single"/>
        </w:rPr>
      </w:pPr>
    </w:p>
    <w:p w14:paraId="19E5343E" w14:textId="77777777" w:rsidR="006A3E78" w:rsidRDefault="00D80309" w:rsidP="00533C8A">
      <w:pPr>
        <w:rPr>
          <w:szCs w:val="24"/>
        </w:rPr>
      </w:pPr>
      <w:r w:rsidRPr="00D30794">
        <w:rPr>
          <w:i/>
          <w:szCs w:val="24"/>
          <w:u w:val="single"/>
        </w:rPr>
        <w:t>Prioritizing Data in CACFP</w:t>
      </w:r>
    </w:p>
    <w:p w14:paraId="19E5343F" w14:textId="262E267B" w:rsidR="00D80309" w:rsidRDefault="00D80309" w:rsidP="00533C8A">
      <w:pPr>
        <w:rPr>
          <w:szCs w:val="24"/>
        </w:rPr>
      </w:pPr>
      <w:r w:rsidRPr="0011353F">
        <w:rPr>
          <w:szCs w:val="24"/>
        </w:rPr>
        <w:t xml:space="preserve">CACFP regulations currently require institutions to first make a reasonable effort to establish area eligibility with school data prior to using census data [7 CFR 226.15(f)].  Previously, when census data were released decennially, school data were thought to more closely reflect the current socioeconomic status of a given area. </w:t>
      </w:r>
      <w:r w:rsidR="00CB2E96">
        <w:rPr>
          <w:szCs w:val="24"/>
        </w:rPr>
        <w:t xml:space="preserve"> </w:t>
      </w:r>
      <w:r w:rsidRPr="0011353F">
        <w:rPr>
          <w:szCs w:val="24"/>
        </w:rPr>
        <w:t xml:space="preserve">Because census data are now annually estimated and released, this policy is no longer necessary. </w:t>
      </w:r>
      <w:r w:rsidR="00CB2E96">
        <w:rPr>
          <w:szCs w:val="24"/>
        </w:rPr>
        <w:t xml:space="preserve"> </w:t>
      </w:r>
      <w:r w:rsidRPr="0011353F">
        <w:rPr>
          <w:szCs w:val="24"/>
        </w:rPr>
        <w:t xml:space="preserve">Therefore, this policy is amended to allow the use of either school or census data for applicable area eligibility determinations in the CACFP. </w:t>
      </w:r>
      <w:r w:rsidRPr="0011353F">
        <w:rPr>
          <w:sz w:val="23"/>
          <w:szCs w:val="23"/>
        </w:rPr>
        <w:t xml:space="preserve">Sponsoring organizations in the CACFP no longer have to </w:t>
      </w:r>
      <w:r w:rsidRPr="0011353F">
        <w:rPr>
          <w:szCs w:val="24"/>
        </w:rPr>
        <w:t>first make a reasonable effort to establish area eligibility with school data prior to using census data [7 CFR 226.15(f)].</w:t>
      </w:r>
    </w:p>
    <w:p w14:paraId="62F2A263" w14:textId="77777777" w:rsidR="00D8222E" w:rsidRPr="0011353F" w:rsidRDefault="00D8222E" w:rsidP="00533C8A">
      <w:pPr>
        <w:rPr>
          <w:szCs w:val="24"/>
        </w:rPr>
      </w:pPr>
    </w:p>
    <w:p w14:paraId="19E53440" w14:textId="77777777" w:rsidR="003C7AF9" w:rsidRPr="0011353F" w:rsidRDefault="000F7A00" w:rsidP="005C428B">
      <w:pPr>
        <w:keepNext/>
        <w:rPr>
          <w:i/>
          <w:szCs w:val="24"/>
          <w:u w:val="single"/>
        </w:rPr>
      </w:pPr>
      <w:r w:rsidRPr="0011353F">
        <w:rPr>
          <w:i/>
          <w:szCs w:val="24"/>
          <w:u w:val="single"/>
        </w:rPr>
        <w:t xml:space="preserve">Geographic Areas </w:t>
      </w:r>
      <w:r w:rsidR="00C53805" w:rsidRPr="0011353F">
        <w:rPr>
          <w:i/>
          <w:szCs w:val="24"/>
          <w:u w:val="single"/>
        </w:rPr>
        <w:t xml:space="preserve">Covered by </w:t>
      </w:r>
      <w:r w:rsidR="00282153" w:rsidRPr="0011353F">
        <w:rPr>
          <w:i/>
          <w:szCs w:val="24"/>
          <w:u w:val="single"/>
        </w:rPr>
        <w:t>Census Data</w:t>
      </w:r>
    </w:p>
    <w:p w14:paraId="19E53441" w14:textId="77777777" w:rsidR="009364CA" w:rsidRPr="0011353F" w:rsidRDefault="009364CA" w:rsidP="00FD3E52">
      <w:pPr>
        <w:rPr>
          <w:szCs w:val="24"/>
        </w:rPr>
      </w:pPr>
      <w:r w:rsidRPr="0011353F">
        <w:rPr>
          <w:szCs w:val="24"/>
        </w:rPr>
        <w:t xml:space="preserve">CACFP day care homes, SFSP sites, and SSO sites located in a Census Block Group (CBG) </w:t>
      </w:r>
      <w:r w:rsidRPr="0011353F">
        <w:rPr>
          <w:szCs w:val="24"/>
          <w:u w:val="single"/>
        </w:rPr>
        <w:t>or</w:t>
      </w:r>
      <w:r w:rsidRPr="0011353F">
        <w:rPr>
          <w:szCs w:val="24"/>
        </w:rPr>
        <w:t xml:space="preserve"> Census Tract in which 50 percent or more of the children</w:t>
      </w:r>
      <w:r w:rsidRPr="0011353F" w:rsidDel="00E67970">
        <w:rPr>
          <w:szCs w:val="24"/>
        </w:rPr>
        <w:t xml:space="preserve"> </w:t>
      </w:r>
      <w:r w:rsidRPr="0011353F">
        <w:rPr>
          <w:szCs w:val="24"/>
        </w:rPr>
        <w:t>are eligible for free or reduced price school meals</w:t>
      </w:r>
      <w:r w:rsidR="00684575" w:rsidRPr="0011353F">
        <w:rPr>
          <w:szCs w:val="24"/>
        </w:rPr>
        <w:t xml:space="preserve"> are considered area eligible</w:t>
      </w:r>
      <w:r w:rsidR="00FD3E52" w:rsidRPr="0011353F">
        <w:rPr>
          <w:szCs w:val="24"/>
        </w:rPr>
        <w:t xml:space="preserve"> for a period of 5 years</w:t>
      </w:r>
      <w:r w:rsidRPr="0011353F">
        <w:rPr>
          <w:szCs w:val="24"/>
        </w:rPr>
        <w:t xml:space="preserve">. </w:t>
      </w:r>
      <w:r w:rsidR="009E554D" w:rsidRPr="0011353F">
        <w:rPr>
          <w:szCs w:val="24"/>
        </w:rPr>
        <w:t xml:space="preserve">CACFP day care homes and </w:t>
      </w:r>
      <w:r w:rsidR="009E554D" w:rsidRPr="0011353F">
        <w:rPr>
          <w:szCs w:val="24"/>
        </w:rPr>
        <w:lastRenderedPageBreak/>
        <w:t xml:space="preserve">SFSP </w:t>
      </w:r>
      <w:r w:rsidR="00310BE1" w:rsidRPr="0011353F">
        <w:rPr>
          <w:szCs w:val="24"/>
        </w:rPr>
        <w:t xml:space="preserve">and SSO </w:t>
      </w:r>
      <w:r w:rsidR="009E554D" w:rsidRPr="0011353F">
        <w:rPr>
          <w:szCs w:val="24"/>
        </w:rPr>
        <w:t xml:space="preserve">sites </w:t>
      </w:r>
      <w:r w:rsidR="007E39D4" w:rsidRPr="0011353F">
        <w:rPr>
          <w:szCs w:val="24"/>
        </w:rPr>
        <w:t>are</w:t>
      </w:r>
      <w:r w:rsidR="009E554D" w:rsidRPr="0011353F">
        <w:rPr>
          <w:szCs w:val="24"/>
        </w:rPr>
        <w:t xml:space="preserve"> considered area eligible if they are located in a CBG or Census Tract that qualifies under </w:t>
      </w:r>
      <w:r w:rsidR="009B0E52" w:rsidRPr="0011353F">
        <w:rPr>
          <w:szCs w:val="24"/>
        </w:rPr>
        <w:t xml:space="preserve">either </w:t>
      </w:r>
      <w:r w:rsidR="00F61594" w:rsidRPr="0011353F">
        <w:rPr>
          <w:szCs w:val="24"/>
        </w:rPr>
        <w:t>CACFP</w:t>
      </w:r>
      <w:r w:rsidR="009B0E52" w:rsidRPr="0011353F">
        <w:rPr>
          <w:szCs w:val="24"/>
        </w:rPr>
        <w:t xml:space="preserve"> or </w:t>
      </w:r>
      <w:r w:rsidR="00803E22" w:rsidRPr="0011353F">
        <w:rPr>
          <w:szCs w:val="24"/>
        </w:rPr>
        <w:t>SFSP</w:t>
      </w:r>
      <w:r w:rsidR="009E554D" w:rsidRPr="0011353F">
        <w:rPr>
          <w:szCs w:val="24"/>
        </w:rPr>
        <w:t>.</w:t>
      </w:r>
      <w:r w:rsidR="00B81A4F" w:rsidRPr="0011353F">
        <w:rPr>
          <w:szCs w:val="24"/>
        </w:rPr>
        <w:t xml:space="preserve"> </w:t>
      </w:r>
    </w:p>
    <w:p w14:paraId="19E53442" w14:textId="77777777" w:rsidR="00B81A4F" w:rsidRPr="0011353F" w:rsidRDefault="00B81A4F" w:rsidP="005A6462">
      <w:pPr>
        <w:rPr>
          <w:szCs w:val="24"/>
        </w:rPr>
      </w:pPr>
    </w:p>
    <w:p w14:paraId="19E53443" w14:textId="5386F627" w:rsidR="00C232CD" w:rsidRPr="0011353F" w:rsidRDefault="00C232CD" w:rsidP="00BB6338">
      <w:pPr>
        <w:pStyle w:val="Default"/>
      </w:pPr>
      <w:r w:rsidRPr="0011353F">
        <w:t>Previously</w:t>
      </w:r>
      <w:r w:rsidR="00684575" w:rsidRPr="0011353F">
        <w:t>,</w:t>
      </w:r>
      <w:r w:rsidR="00446105" w:rsidRPr="0011353F">
        <w:t xml:space="preserve"> CBGs</w:t>
      </w:r>
      <w:r w:rsidR="00684575" w:rsidRPr="0011353F">
        <w:t xml:space="preserve"> were th</w:t>
      </w:r>
      <w:r w:rsidR="00446105" w:rsidRPr="0011353F">
        <w:t>e</w:t>
      </w:r>
      <w:r w:rsidR="00684575" w:rsidRPr="0011353F">
        <w:t xml:space="preserve"> only</w:t>
      </w:r>
      <w:r w:rsidR="00446105" w:rsidRPr="0011353F">
        <w:t xml:space="preserve"> </w:t>
      </w:r>
      <w:r w:rsidR="00684575" w:rsidRPr="0011353F">
        <w:t xml:space="preserve">permissible </w:t>
      </w:r>
      <w:r w:rsidR="00446105" w:rsidRPr="0011353F">
        <w:t xml:space="preserve">geographical unit </w:t>
      </w:r>
      <w:r w:rsidR="00684575" w:rsidRPr="0011353F">
        <w:t xml:space="preserve">that could be </w:t>
      </w:r>
      <w:r w:rsidR="00446105" w:rsidRPr="0011353F">
        <w:t>used to assess eligibility for CACFP, SFSP</w:t>
      </w:r>
      <w:r w:rsidR="000F7A00" w:rsidRPr="0011353F">
        <w:t>,</w:t>
      </w:r>
      <w:r w:rsidR="00446105" w:rsidRPr="0011353F">
        <w:t xml:space="preserve"> and SSO when using </w:t>
      </w:r>
      <w:r w:rsidR="000F7A00" w:rsidRPr="0011353F">
        <w:t>c</w:t>
      </w:r>
      <w:r w:rsidR="00446105" w:rsidRPr="0011353F">
        <w:t>ensus data</w:t>
      </w:r>
      <w:r w:rsidR="00BB6338" w:rsidRPr="0011353F">
        <w:t>.</w:t>
      </w:r>
      <w:r w:rsidR="00CB2E96">
        <w:t xml:space="preserve"> </w:t>
      </w:r>
      <w:r w:rsidR="00BB6338" w:rsidRPr="0011353F">
        <w:t xml:space="preserve"> </w:t>
      </w:r>
      <w:r w:rsidRPr="0011353F">
        <w:t>In May 2014,</w:t>
      </w:r>
      <w:r w:rsidR="000F7A00" w:rsidRPr="0011353F">
        <w:t xml:space="preserve"> FNS issued </w:t>
      </w:r>
      <w:r w:rsidRPr="0011353F">
        <w:t xml:space="preserve">guidance </w:t>
      </w:r>
      <w:r w:rsidR="000F7A00" w:rsidRPr="0011353F">
        <w:t xml:space="preserve">providing </w:t>
      </w:r>
      <w:r w:rsidR="00684575" w:rsidRPr="0011353F">
        <w:t xml:space="preserve">CACFP day care homes and SFSP and SSO sites </w:t>
      </w:r>
      <w:r w:rsidRPr="0011353F">
        <w:t>flexibility to</w:t>
      </w:r>
      <w:r w:rsidR="00684575" w:rsidRPr="0011353F">
        <w:t xml:space="preserve"> also use Census Tracts, geographical units that consist of one or more of the CBGs, to determine area eligibility</w:t>
      </w:r>
      <w:r w:rsidRPr="0011353F">
        <w:t xml:space="preserve"> [SP 49-2014, CACFP 13-2014, SFSP 19-2014, </w:t>
      </w:r>
      <w:r w:rsidRPr="0011353F">
        <w:rPr>
          <w:i/>
        </w:rPr>
        <w:t>Area Eligibility Using Census Data</w:t>
      </w:r>
      <w:r w:rsidRPr="0011353F">
        <w:t>, May 28, 2014]</w:t>
      </w:r>
      <w:r w:rsidR="00684575" w:rsidRPr="0011353F">
        <w:t xml:space="preserve">. </w:t>
      </w:r>
    </w:p>
    <w:p w14:paraId="19E53444" w14:textId="77777777" w:rsidR="00C232CD" w:rsidRPr="0011353F" w:rsidRDefault="00C232CD" w:rsidP="00BB6338">
      <w:pPr>
        <w:pStyle w:val="Default"/>
      </w:pPr>
    </w:p>
    <w:p w14:paraId="19E53445" w14:textId="7BAD7951" w:rsidR="00446105" w:rsidRPr="0011353F" w:rsidRDefault="00EE6E26" w:rsidP="00BB6338">
      <w:pPr>
        <w:pStyle w:val="Default"/>
      </w:pPr>
      <w:r w:rsidRPr="0011353F">
        <w:t xml:space="preserve">Occasionally, a potential CACFP day care home or SFSP or SSO site is determined not to be area eligible, but is located immediately adjacent to an eligible area. </w:t>
      </w:r>
      <w:r w:rsidR="00CB2E96">
        <w:t xml:space="preserve"> </w:t>
      </w:r>
      <w:r w:rsidRPr="0011353F">
        <w:t>This proximity suggests that the children residing in the area from which the home or site would most likely draw participants would have a likelihood of similar census demographics.</w:t>
      </w:r>
      <w:r w:rsidR="00CB2E96">
        <w:t xml:space="preserve"> </w:t>
      </w:r>
      <w:r w:rsidRPr="0011353F">
        <w:t xml:space="preserve"> In recognizing that likelihood and allowing additional flexibility in the use of census data to establish area eligibility, we can ensure area eligibility determinations accurately identify areas in which poor economic conditions exist</w:t>
      </w:r>
      <w:r w:rsidR="003C7AF9" w:rsidRPr="0011353F">
        <w:t xml:space="preserve">. </w:t>
      </w:r>
    </w:p>
    <w:p w14:paraId="19E53446" w14:textId="77777777" w:rsidR="00446105" w:rsidRPr="0011353F" w:rsidRDefault="00446105" w:rsidP="00D953D9">
      <w:pPr>
        <w:rPr>
          <w:szCs w:val="24"/>
        </w:rPr>
      </w:pPr>
    </w:p>
    <w:p w14:paraId="19E53447" w14:textId="7CB8BF05" w:rsidR="00D953D9" w:rsidRPr="0011353F" w:rsidRDefault="000F7A00" w:rsidP="00D953D9">
      <w:pPr>
        <w:rPr>
          <w:szCs w:val="24"/>
        </w:rPr>
      </w:pPr>
      <w:r w:rsidRPr="0011353F">
        <w:rPr>
          <w:szCs w:val="24"/>
        </w:rPr>
        <w:t xml:space="preserve">Therefore, </w:t>
      </w:r>
      <w:r w:rsidR="00BB6338" w:rsidRPr="0011353F">
        <w:rPr>
          <w:szCs w:val="24"/>
        </w:rPr>
        <w:t>b</w:t>
      </w:r>
      <w:r w:rsidR="00EE6E26" w:rsidRPr="0011353F">
        <w:rPr>
          <w:szCs w:val="24"/>
        </w:rPr>
        <w:t>ased on analysis of the proposed location, with both State agency and Regional Office approval, up to three adjacent CBGs may be averaged, using a weighted average, to determine eligibility</w:t>
      </w:r>
      <w:r w:rsidR="003C7AF9" w:rsidRPr="0011353F">
        <w:rPr>
          <w:szCs w:val="24"/>
        </w:rPr>
        <w:t>.</w:t>
      </w:r>
      <w:r w:rsidR="00D953D9" w:rsidRPr="0011353F">
        <w:rPr>
          <w:szCs w:val="24"/>
        </w:rPr>
        <w:t xml:space="preserve"> </w:t>
      </w:r>
      <w:r w:rsidR="00523A8B">
        <w:rPr>
          <w:szCs w:val="24"/>
        </w:rPr>
        <w:t xml:space="preserve"> </w:t>
      </w:r>
      <w:r w:rsidRPr="0011353F">
        <w:rPr>
          <w:szCs w:val="24"/>
        </w:rPr>
        <w:t xml:space="preserve">In such a case, </w:t>
      </w:r>
      <w:r w:rsidR="00EE6E26" w:rsidRPr="0011353F">
        <w:rPr>
          <w:szCs w:val="24"/>
        </w:rPr>
        <w:t>CACFP day care homes and SFSP and SSO sites are considered area eligible if</w:t>
      </w:r>
      <w:r w:rsidR="002207FE" w:rsidRPr="0011353F">
        <w:rPr>
          <w:szCs w:val="24"/>
        </w:rPr>
        <w:t xml:space="preserve"> t</w:t>
      </w:r>
      <w:r w:rsidR="00EE6E26" w:rsidRPr="0011353F">
        <w:rPr>
          <w:szCs w:val="24"/>
        </w:rPr>
        <w:t xml:space="preserve">he percentage of children eligible for free or reduced-price meals in up to three adjacent CBGs when averaged is 50 percent or more, provided that at least 40 percent of children in each of the </w:t>
      </w:r>
      <w:r w:rsidR="00A2223B">
        <w:rPr>
          <w:szCs w:val="24"/>
        </w:rPr>
        <w:t xml:space="preserve">individual </w:t>
      </w:r>
      <w:r w:rsidR="00EE6E26" w:rsidRPr="0011353F">
        <w:rPr>
          <w:szCs w:val="24"/>
        </w:rPr>
        <w:t>CBGs are eligible for free or reduced-price meals.</w:t>
      </w:r>
      <w:r w:rsidR="00D953D9" w:rsidRPr="0011353F">
        <w:rPr>
          <w:szCs w:val="24"/>
        </w:rPr>
        <w:t xml:space="preserve"> </w:t>
      </w:r>
      <w:r w:rsidR="00523A8B">
        <w:rPr>
          <w:szCs w:val="24"/>
        </w:rPr>
        <w:t xml:space="preserve"> </w:t>
      </w:r>
      <w:r w:rsidR="00D953D9" w:rsidRPr="0011353F">
        <w:rPr>
          <w:szCs w:val="24"/>
        </w:rPr>
        <w:t>Census Tracts may not be combined.</w:t>
      </w:r>
    </w:p>
    <w:p w14:paraId="19E53448" w14:textId="77777777" w:rsidR="004D46F3" w:rsidRPr="0011353F" w:rsidRDefault="00D953D9" w:rsidP="00D953D9">
      <w:pPr>
        <w:spacing w:before="29"/>
        <w:ind w:right="71"/>
        <w:rPr>
          <w:szCs w:val="24"/>
        </w:rPr>
      </w:pPr>
      <w:r w:rsidRPr="0011353F">
        <w:rPr>
          <w:szCs w:val="24"/>
        </w:rPr>
        <w:t xml:space="preserve">  </w:t>
      </w:r>
    </w:p>
    <w:p w14:paraId="19E53449" w14:textId="77777777" w:rsidR="009E554D" w:rsidRPr="0011353F" w:rsidRDefault="00795744" w:rsidP="002207FE">
      <w:pPr>
        <w:rPr>
          <w:i/>
          <w:szCs w:val="24"/>
          <w:u w:val="single"/>
        </w:rPr>
      </w:pPr>
      <w:r w:rsidRPr="0011353F">
        <w:rPr>
          <w:i/>
          <w:szCs w:val="24"/>
          <w:u w:val="single"/>
        </w:rPr>
        <w:t>Reclassification of Day Care Home Providers</w:t>
      </w:r>
    </w:p>
    <w:p w14:paraId="19E5344A" w14:textId="6044C1DD" w:rsidR="009E554D" w:rsidRPr="0011353F" w:rsidRDefault="009E554D" w:rsidP="009E554D">
      <w:pPr>
        <w:rPr>
          <w:szCs w:val="24"/>
        </w:rPr>
      </w:pPr>
      <w:r w:rsidRPr="0011353F">
        <w:rPr>
          <w:szCs w:val="24"/>
        </w:rPr>
        <w:t>Sponsors must annually inform tier II day care home providers that the provider</w:t>
      </w:r>
      <w:r w:rsidR="00C53805" w:rsidRPr="0011353F">
        <w:rPr>
          <w:szCs w:val="24"/>
        </w:rPr>
        <w:t>s</w:t>
      </w:r>
      <w:r w:rsidRPr="0011353F">
        <w:rPr>
          <w:szCs w:val="24"/>
        </w:rPr>
        <w:t xml:space="preserve"> may ask for a reclassification to be considered when new census data become available each year and that reclassification may be made at any time for tier II homes. </w:t>
      </w:r>
      <w:r w:rsidR="00523A8B">
        <w:rPr>
          <w:szCs w:val="24"/>
        </w:rPr>
        <w:t xml:space="preserve"> </w:t>
      </w:r>
      <w:r w:rsidRPr="0011353F">
        <w:rPr>
          <w:szCs w:val="24"/>
        </w:rPr>
        <w:t xml:space="preserve">If a day care home is currently classified as tier II, but the CBG data demonstrates that the home is now tier I, then the sponsor may immediately change the status of that home to tier I and pay the higher rate of reimbursement for the current and subsequent months. </w:t>
      </w:r>
      <w:r w:rsidR="00523A8B">
        <w:rPr>
          <w:szCs w:val="24"/>
        </w:rPr>
        <w:t xml:space="preserve"> </w:t>
      </w:r>
      <w:r w:rsidRPr="0011353F">
        <w:rPr>
          <w:szCs w:val="24"/>
        </w:rPr>
        <w:t xml:space="preserve">A reclassification to </w:t>
      </w:r>
      <w:r w:rsidR="00C53805" w:rsidRPr="0011353F">
        <w:rPr>
          <w:szCs w:val="24"/>
        </w:rPr>
        <w:t>t</w:t>
      </w:r>
      <w:r w:rsidRPr="0011353F">
        <w:rPr>
          <w:szCs w:val="24"/>
        </w:rPr>
        <w:t xml:space="preserve">ier I status is good for five years, at which time eligibility for this classification </w:t>
      </w:r>
      <w:r w:rsidR="009B0E52" w:rsidRPr="0011353F">
        <w:rPr>
          <w:szCs w:val="24"/>
        </w:rPr>
        <w:t>must</w:t>
      </w:r>
      <w:r w:rsidRPr="0011353F">
        <w:rPr>
          <w:szCs w:val="24"/>
        </w:rPr>
        <w:t xml:space="preserve"> be reconfirmed. </w:t>
      </w:r>
      <w:r w:rsidR="00523A8B">
        <w:rPr>
          <w:szCs w:val="24"/>
        </w:rPr>
        <w:t xml:space="preserve"> </w:t>
      </w:r>
      <w:r w:rsidR="00C53805" w:rsidRPr="0011353F">
        <w:rPr>
          <w:szCs w:val="24"/>
        </w:rPr>
        <w:t>When a home is reclassified, r</w:t>
      </w:r>
      <w:r w:rsidRPr="0011353F">
        <w:rPr>
          <w:szCs w:val="24"/>
        </w:rPr>
        <w:t>etroactive reimbursement at the higher tier I rates will not be provided for any previous month.</w:t>
      </w:r>
    </w:p>
    <w:p w14:paraId="19E5344B" w14:textId="77777777" w:rsidR="004D46F3" w:rsidRPr="0011353F" w:rsidRDefault="004D46F3" w:rsidP="002207FE">
      <w:pPr>
        <w:rPr>
          <w:szCs w:val="24"/>
        </w:rPr>
      </w:pPr>
    </w:p>
    <w:p w14:paraId="19E5344C" w14:textId="77777777" w:rsidR="00E9690F" w:rsidRPr="0011353F" w:rsidRDefault="00282153" w:rsidP="00E9690F">
      <w:pPr>
        <w:rPr>
          <w:i/>
          <w:szCs w:val="24"/>
          <w:u w:val="single"/>
        </w:rPr>
      </w:pPr>
      <w:r w:rsidRPr="0011353F">
        <w:rPr>
          <w:i/>
          <w:szCs w:val="24"/>
          <w:u w:val="single"/>
        </w:rPr>
        <w:t xml:space="preserve">Area Eligibility Established Using Census </w:t>
      </w:r>
      <w:r w:rsidR="00C53805" w:rsidRPr="0011353F">
        <w:rPr>
          <w:i/>
          <w:szCs w:val="24"/>
          <w:u w:val="single"/>
        </w:rPr>
        <w:t>D</w:t>
      </w:r>
      <w:r w:rsidRPr="0011353F">
        <w:rPr>
          <w:i/>
          <w:szCs w:val="24"/>
          <w:u w:val="single"/>
        </w:rPr>
        <w:t>ata between February 13, 2012</w:t>
      </w:r>
      <w:r w:rsidR="00E81136" w:rsidRPr="0011353F">
        <w:rPr>
          <w:i/>
          <w:szCs w:val="24"/>
          <w:u w:val="single"/>
        </w:rPr>
        <w:t>,</w:t>
      </w:r>
      <w:r w:rsidRPr="0011353F">
        <w:rPr>
          <w:i/>
          <w:szCs w:val="24"/>
          <w:u w:val="single"/>
        </w:rPr>
        <w:t xml:space="preserve"> and April 6, 2012</w:t>
      </w:r>
    </w:p>
    <w:p w14:paraId="19E5344D" w14:textId="48CE1F77" w:rsidR="00E9690F" w:rsidRDefault="007F3B23" w:rsidP="00E9690F">
      <w:pPr>
        <w:rPr>
          <w:szCs w:val="24"/>
        </w:rPr>
      </w:pPr>
      <w:r w:rsidRPr="0011353F">
        <w:rPr>
          <w:szCs w:val="24"/>
        </w:rPr>
        <w:t>T</w:t>
      </w:r>
      <w:r w:rsidR="00E9690F" w:rsidRPr="0011353F">
        <w:rPr>
          <w:szCs w:val="24"/>
        </w:rPr>
        <w:t xml:space="preserve">he Census Bureau </w:t>
      </w:r>
      <w:r w:rsidRPr="0011353F">
        <w:rPr>
          <w:szCs w:val="24"/>
        </w:rPr>
        <w:t xml:space="preserve">incorrectly categorized children with missing poverty information as eligible for free and reduced price meals in </w:t>
      </w:r>
      <w:r w:rsidR="00E9690F" w:rsidRPr="0011353F">
        <w:rPr>
          <w:szCs w:val="24"/>
        </w:rPr>
        <w:t xml:space="preserve">the dataset released </w:t>
      </w:r>
      <w:r w:rsidR="00D953D9" w:rsidRPr="0011353F">
        <w:rPr>
          <w:szCs w:val="24"/>
        </w:rPr>
        <w:t xml:space="preserve">by FNS </w:t>
      </w:r>
      <w:r w:rsidR="00E9690F" w:rsidRPr="0011353F">
        <w:rPr>
          <w:szCs w:val="24"/>
        </w:rPr>
        <w:t>on February 13, 2012.</w:t>
      </w:r>
      <w:r w:rsidR="00523A8B">
        <w:rPr>
          <w:szCs w:val="24"/>
        </w:rPr>
        <w:t xml:space="preserve"> </w:t>
      </w:r>
      <w:r w:rsidR="00E9690F" w:rsidRPr="0011353F">
        <w:rPr>
          <w:szCs w:val="24"/>
        </w:rPr>
        <w:t xml:space="preserve"> This coding error resulted in an overestimate of the number of children eligible for free or reduced price meals in the affected block groups.</w:t>
      </w:r>
    </w:p>
    <w:p w14:paraId="2E663002" w14:textId="77777777" w:rsidR="00D8222E" w:rsidRPr="0011353F" w:rsidRDefault="00D8222E" w:rsidP="00E9690F">
      <w:pPr>
        <w:rPr>
          <w:szCs w:val="24"/>
        </w:rPr>
      </w:pPr>
    </w:p>
    <w:p w14:paraId="2699EC74" w14:textId="77777777" w:rsidR="00523A8B" w:rsidRDefault="00E9690F">
      <w:pPr>
        <w:rPr>
          <w:szCs w:val="24"/>
        </w:rPr>
      </w:pPr>
      <w:r w:rsidRPr="0011353F">
        <w:rPr>
          <w:szCs w:val="24"/>
        </w:rPr>
        <w:t xml:space="preserve">State agencies </w:t>
      </w:r>
      <w:r w:rsidR="007E39D4" w:rsidRPr="0011353F">
        <w:rPr>
          <w:szCs w:val="24"/>
        </w:rPr>
        <w:t xml:space="preserve">monitoring </w:t>
      </w:r>
      <w:r w:rsidRPr="0011353F">
        <w:rPr>
          <w:szCs w:val="24"/>
        </w:rPr>
        <w:t>SFSP</w:t>
      </w:r>
      <w:r w:rsidR="00CB6DDD" w:rsidRPr="0011353F">
        <w:rPr>
          <w:szCs w:val="24"/>
        </w:rPr>
        <w:t>, SSO</w:t>
      </w:r>
      <w:r w:rsidRPr="0011353F">
        <w:rPr>
          <w:szCs w:val="24"/>
        </w:rPr>
        <w:t xml:space="preserve"> and CACFP sponsors that determined area eligibility using </w:t>
      </w:r>
      <w:r w:rsidR="007F3B23" w:rsidRPr="0011353F">
        <w:rPr>
          <w:szCs w:val="24"/>
        </w:rPr>
        <w:t xml:space="preserve">census </w:t>
      </w:r>
      <w:r w:rsidRPr="0011353F">
        <w:rPr>
          <w:szCs w:val="24"/>
        </w:rPr>
        <w:t>data released between February 13,</w:t>
      </w:r>
      <w:r w:rsidR="00624CAF" w:rsidRPr="0011353F">
        <w:rPr>
          <w:szCs w:val="24"/>
        </w:rPr>
        <w:t xml:space="preserve"> </w:t>
      </w:r>
      <w:r w:rsidRPr="0011353F">
        <w:rPr>
          <w:szCs w:val="24"/>
        </w:rPr>
        <w:t>2012</w:t>
      </w:r>
      <w:r w:rsidR="00E81136" w:rsidRPr="0011353F">
        <w:rPr>
          <w:szCs w:val="24"/>
        </w:rPr>
        <w:t>,</w:t>
      </w:r>
      <w:r w:rsidRPr="0011353F">
        <w:rPr>
          <w:szCs w:val="24"/>
        </w:rPr>
        <w:t xml:space="preserve"> and April 6, 2012</w:t>
      </w:r>
      <w:r w:rsidR="00E81136" w:rsidRPr="0011353F">
        <w:rPr>
          <w:szCs w:val="24"/>
        </w:rPr>
        <w:t>,</w:t>
      </w:r>
      <w:r w:rsidRPr="0011353F">
        <w:rPr>
          <w:szCs w:val="24"/>
        </w:rPr>
        <w:t xml:space="preserve"> should ensure that</w:t>
      </w:r>
      <w:r w:rsidR="001A2958" w:rsidRPr="0011353F">
        <w:rPr>
          <w:szCs w:val="24"/>
        </w:rPr>
        <w:t xml:space="preserve"> </w:t>
      </w:r>
      <w:r w:rsidR="00E81136" w:rsidRPr="0011353F">
        <w:rPr>
          <w:szCs w:val="24"/>
        </w:rPr>
        <w:t xml:space="preserve">eligibility was re-determined for FY 2013. </w:t>
      </w:r>
      <w:r w:rsidRPr="0011353F">
        <w:rPr>
          <w:szCs w:val="24"/>
        </w:rPr>
        <w:t xml:space="preserve">SFSP sites located within the affected </w:t>
      </w:r>
      <w:r w:rsidR="00D953D9" w:rsidRPr="0011353F">
        <w:rPr>
          <w:szCs w:val="24"/>
        </w:rPr>
        <w:t>CBGs</w:t>
      </w:r>
      <w:r w:rsidRPr="0011353F">
        <w:rPr>
          <w:szCs w:val="24"/>
        </w:rPr>
        <w:t xml:space="preserve"> for which eligibility determinations were made using the inaccurate data</w:t>
      </w:r>
      <w:r w:rsidR="00C23215" w:rsidRPr="0011353F">
        <w:rPr>
          <w:szCs w:val="24"/>
        </w:rPr>
        <w:t xml:space="preserve"> </w:t>
      </w:r>
      <w:r w:rsidR="009B0E52" w:rsidRPr="0011353F">
        <w:rPr>
          <w:szCs w:val="24"/>
        </w:rPr>
        <w:t xml:space="preserve">were permitted to </w:t>
      </w:r>
      <w:r w:rsidR="00A53902" w:rsidRPr="0011353F">
        <w:rPr>
          <w:szCs w:val="24"/>
        </w:rPr>
        <w:t xml:space="preserve">maintain their eligibility for fiscal year (FY) 2012, but </w:t>
      </w:r>
      <w:r w:rsidR="009B0E52" w:rsidRPr="0011353F">
        <w:rPr>
          <w:szCs w:val="24"/>
        </w:rPr>
        <w:t xml:space="preserve">eligibility redeterminations were required </w:t>
      </w:r>
      <w:r w:rsidR="00A53902" w:rsidRPr="0011353F">
        <w:rPr>
          <w:szCs w:val="24"/>
        </w:rPr>
        <w:t xml:space="preserve">for </w:t>
      </w:r>
    </w:p>
    <w:p w14:paraId="19E5344E" w14:textId="7337E134" w:rsidR="001A2958" w:rsidRPr="0011353F" w:rsidRDefault="00A53902">
      <w:pPr>
        <w:rPr>
          <w:szCs w:val="24"/>
        </w:rPr>
      </w:pPr>
      <w:r w:rsidRPr="0011353F">
        <w:rPr>
          <w:szCs w:val="24"/>
        </w:rPr>
        <w:t xml:space="preserve">FY 2013. </w:t>
      </w:r>
      <w:r w:rsidR="00E81136" w:rsidRPr="0011353F">
        <w:rPr>
          <w:szCs w:val="24"/>
        </w:rPr>
        <w:t xml:space="preserve">For purposes of CACFP, </w:t>
      </w:r>
      <w:r w:rsidR="009B0E52" w:rsidRPr="0011353F">
        <w:rPr>
          <w:szCs w:val="24"/>
        </w:rPr>
        <w:t xml:space="preserve">eligibility redeterminations for </w:t>
      </w:r>
      <w:r w:rsidR="00E81136" w:rsidRPr="0011353F">
        <w:rPr>
          <w:szCs w:val="24"/>
        </w:rPr>
        <w:t xml:space="preserve">tier I day care homes located within the affected block groups </w:t>
      </w:r>
      <w:r w:rsidR="009B0E52" w:rsidRPr="0011353F">
        <w:rPr>
          <w:szCs w:val="24"/>
        </w:rPr>
        <w:t xml:space="preserve">were required </w:t>
      </w:r>
      <w:r w:rsidR="00E9690F" w:rsidRPr="0011353F">
        <w:rPr>
          <w:szCs w:val="24"/>
        </w:rPr>
        <w:t xml:space="preserve">by September 30, 2012, but State agencies </w:t>
      </w:r>
      <w:r w:rsidR="009B0E52" w:rsidRPr="0011353F">
        <w:rPr>
          <w:szCs w:val="24"/>
        </w:rPr>
        <w:t xml:space="preserve">were permitted to </w:t>
      </w:r>
      <w:r w:rsidR="00E9690F" w:rsidRPr="0011353F">
        <w:rPr>
          <w:szCs w:val="24"/>
        </w:rPr>
        <w:t xml:space="preserve">establish an earlier date. </w:t>
      </w:r>
      <w:r w:rsidR="00523A8B">
        <w:rPr>
          <w:szCs w:val="24"/>
        </w:rPr>
        <w:t xml:space="preserve"> </w:t>
      </w:r>
      <w:r w:rsidR="00E9690F" w:rsidRPr="0011353F">
        <w:rPr>
          <w:szCs w:val="24"/>
        </w:rPr>
        <w:t xml:space="preserve">Eligibility determinations for CACFP day care homes </w:t>
      </w:r>
      <w:r w:rsidR="00E81136" w:rsidRPr="0011353F">
        <w:rPr>
          <w:szCs w:val="24"/>
        </w:rPr>
        <w:t>and SFSP</w:t>
      </w:r>
      <w:r w:rsidR="00CB6DDD" w:rsidRPr="0011353F">
        <w:rPr>
          <w:szCs w:val="24"/>
        </w:rPr>
        <w:t xml:space="preserve"> or SSO</w:t>
      </w:r>
      <w:r w:rsidR="00E81136" w:rsidRPr="0011353F">
        <w:rPr>
          <w:szCs w:val="24"/>
        </w:rPr>
        <w:t xml:space="preserve"> sites </w:t>
      </w:r>
      <w:r w:rsidR="00E9690F" w:rsidRPr="0011353F">
        <w:rPr>
          <w:szCs w:val="24"/>
        </w:rPr>
        <w:t>for which eligibility was determined after April 6</w:t>
      </w:r>
      <w:r w:rsidR="00421D45" w:rsidRPr="0011353F">
        <w:rPr>
          <w:szCs w:val="24"/>
        </w:rPr>
        <w:t>,</w:t>
      </w:r>
      <w:r w:rsidR="005D4611" w:rsidRPr="0011353F">
        <w:rPr>
          <w:szCs w:val="24"/>
        </w:rPr>
        <w:t xml:space="preserve"> 2012,</w:t>
      </w:r>
      <w:r w:rsidR="00E9690F" w:rsidRPr="0011353F">
        <w:rPr>
          <w:szCs w:val="24"/>
        </w:rPr>
        <w:t xml:space="preserve"> must </w:t>
      </w:r>
      <w:r w:rsidR="00063D88" w:rsidRPr="0011353F">
        <w:rPr>
          <w:szCs w:val="24"/>
        </w:rPr>
        <w:t>have been</w:t>
      </w:r>
      <w:r w:rsidR="00E9690F" w:rsidRPr="0011353F">
        <w:rPr>
          <w:szCs w:val="24"/>
        </w:rPr>
        <w:t xml:space="preserve"> made using the corrected data.</w:t>
      </w:r>
      <w:r w:rsidR="00553472" w:rsidRPr="0011353F">
        <w:rPr>
          <w:szCs w:val="24"/>
        </w:rPr>
        <w:t xml:space="preserve"> </w:t>
      </w:r>
    </w:p>
    <w:p w14:paraId="19E5344F" w14:textId="77777777" w:rsidR="007E39D4" w:rsidRPr="0011353F" w:rsidRDefault="007E39D4" w:rsidP="00396E07">
      <w:pPr>
        <w:rPr>
          <w:i/>
          <w:szCs w:val="24"/>
        </w:rPr>
      </w:pPr>
    </w:p>
    <w:p w14:paraId="19E53450" w14:textId="77777777" w:rsidR="00063D88" w:rsidRPr="0011353F" w:rsidRDefault="009B0E52" w:rsidP="00396E07">
      <w:pPr>
        <w:rPr>
          <w:i/>
          <w:szCs w:val="24"/>
          <w:u w:val="single"/>
        </w:rPr>
      </w:pPr>
      <w:r w:rsidRPr="0011353F">
        <w:rPr>
          <w:i/>
          <w:szCs w:val="24"/>
          <w:u w:val="single"/>
        </w:rPr>
        <w:t xml:space="preserve">Accessing </w:t>
      </w:r>
      <w:r w:rsidR="00282153" w:rsidRPr="0011353F">
        <w:rPr>
          <w:i/>
          <w:szCs w:val="24"/>
          <w:u w:val="single"/>
        </w:rPr>
        <w:t>the Data</w:t>
      </w:r>
    </w:p>
    <w:p w14:paraId="19E53451" w14:textId="77777777" w:rsidR="00063D88" w:rsidRPr="0011353F" w:rsidRDefault="00063D88" w:rsidP="00F93314">
      <w:pPr>
        <w:pStyle w:val="Default"/>
      </w:pPr>
      <w:r w:rsidRPr="0011353F">
        <w:t xml:space="preserve">Census Tract and CBG data </w:t>
      </w:r>
      <w:r w:rsidR="00DB5BB4" w:rsidRPr="0011353F">
        <w:t>are</w:t>
      </w:r>
      <w:r w:rsidRPr="0011353F">
        <w:t xml:space="preserve"> now available through the FNS Area </w:t>
      </w:r>
      <w:r w:rsidR="00F75746" w:rsidRPr="0011353F">
        <w:t>Eligibility</w:t>
      </w:r>
      <w:r w:rsidRPr="0011353F">
        <w:t xml:space="preserve"> Mapper</w:t>
      </w:r>
      <w:r w:rsidR="00421D45" w:rsidRPr="0011353F">
        <w:t>, which is located at</w:t>
      </w:r>
      <w:r w:rsidR="009B0E52" w:rsidRPr="0011353F">
        <w:t xml:space="preserve"> </w:t>
      </w:r>
      <w:hyperlink r:id="rId18" w:history="1">
        <w:r w:rsidRPr="0011353F">
          <w:rPr>
            <w:rStyle w:val="Hyperlink"/>
          </w:rPr>
          <w:t>http://www.fns.usda.gov/areaeligibility</w:t>
        </w:r>
      </w:hyperlink>
      <w:r w:rsidR="00421D45" w:rsidRPr="0011353F">
        <w:t>.</w:t>
      </w:r>
      <w:r w:rsidRPr="0011353F">
        <w:t xml:space="preserve"> </w:t>
      </w:r>
    </w:p>
    <w:p w14:paraId="19E53452" w14:textId="77777777" w:rsidR="00063D88" w:rsidRPr="0011353F" w:rsidRDefault="00063D88" w:rsidP="00063D88">
      <w:pPr>
        <w:pStyle w:val="Default"/>
        <w:ind w:firstLine="720"/>
      </w:pPr>
    </w:p>
    <w:p w14:paraId="19E53453" w14:textId="1A76D39A" w:rsidR="004E672B" w:rsidRDefault="001C1643" w:rsidP="004E672B">
      <w:r w:rsidRPr="0011353F">
        <w:t>The FNS Area Eligibility Mapper was published in 2014 and intended for State agencies and sponsors to determine area eligibility in CACFP</w:t>
      </w:r>
      <w:r w:rsidR="009B0E52" w:rsidRPr="0011353F">
        <w:t>,</w:t>
      </w:r>
      <w:r w:rsidRPr="0011353F">
        <w:t xml:space="preserve"> SFSP</w:t>
      </w:r>
      <w:r w:rsidR="009B0E52" w:rsidRPr="0011353F">
        <w:t>, and SSO</w:t>
      </w:r>
      <w:r w:rsidRPr="0011353F">
        <w:t xml:space="preserve">. </w:t>
      </w:r>
      <w:r w:rsidR="00B62DD9">
        <w:t xml:space="preserve"> </w:t>
      </w:r>
      <w:r w:rsidRPr="0011353F">
        <w:t xml:space="preserve">The map also </w:t>
      </w:r>
      <w:r w:rsidR="003A16E1" w:rsidRPr="0011353F">
        <w:t xml:space="preserve">can </w:t>
      </w:r>
      <w:r w:rsidRPr="0011353F">
        <w:t>be used to conduct weighted averaging</w:t>
      </w:r>
      <w:r w:rsidR="003A16E1" w:rsidRPr="0011353F">
        <w:t xml:space="preserve"> as </w:t>
      </w:r>
      <w:r w:rsidRPr="0011353F">
        <w:t>discussed above.</w:t>
      </w:r>
      <w:r w:rsidR="00B62DD9">
        <w:t xml:space="preserve"> </w:t>
      </w:r>
      <w:r w:rsidRPr="0011353F">
        <w:t xml:space="preserve"> </w:t>
      </w:r>
      <w:r w:rsidR="00063D88" w:rsidRPr="0011353F">
        <w:t>Instructions for determining eligibility using these data</w:t>
      </w:r>
      <w:r w:rsidRPr="0011353F">
        <w:t xml:space="preserve"> are</w:t>
      </w:r>
      <w:r w:rsidR="00275D4E" w:rsidRPr="0011353F">
        <w:t xml:space="preserve"> available at:</w:t>
      </w:r>
      <w:r w:rsidR="00DC3F20" w:rsidRPr="0011353F">
        <w:t xml:space="preserve"> </w:t>
      </w:r>
    </w:p>
    <w:p w14:paraId="19E53454" w14:textId="5BA071DE" w:rsidR="00063D88" w:rsidRPr="0011353F" w:rsidRDefault="007059C9" w:rsidP="004E672B">
      <w:pPr>
        <w:pStyle w:val="Default"/>
      </w:pPr>
      <w:hyperlink r:id="rId19" w:history="1">
        <w:r w:rsidR="004E672B">
          <w:rPr>
            <w:rStyle w:val="Hyperlink"/>
          </w:rPr>
          <w:t>http://www.fns.usda.gov/sites/default/files/Census%20Instructions%202014_0.pdf</w:t>
        </w:r>
      </w:hyperlink>
      <w:r w:rsidR="004E672B">
        <w:t xml:space="preserve">. </w:t>
      </w:r>
      <w:r w:rsidR="00B62DD9">
        <w:t xml:space="preserve"> </w:t>
      </w:r>
      <w:r w:rsidR="00063D88" w:rsidRPr="0011353F">
        <w:t xml:space="preserve">The instructions offer two different tools to determine eligibility: the FNS Area </w:t>
      </w:r>
      <w:r w:rsidR="00F75746" w:rsidRPr="0011353F">
        <w:t>Eligibility</w:t>
      </w:r>
      <w:r w:rsidR="00063D88" w:rsidRPr="0011353F">
        <w:t xml:space="preserve"> Mapper and a map developed by the Food Research and Action Center (FRAC).  The FRAC map is constr</w:t>
      </w:r>
      <w:r w:rsidR="00DB5BB4" w:rsidRPr="0011353F">
        <w:t xml:space="preserve">ucted from the same data files </w:t>
      </w:r>
      <w:r w:rsidR="00063D88" w:rsidRPr="0011353F">
        <w:t xml:space="preserve">and also may be used to determine eligibility. </w:t>
      </w:r>
    </w:p>
    <w:p w14:paraId="19E53455" w14:textId="77777777" w:rsidR="00063D88" w:rsidRPr="0011353F" w:rsidRDefault="00063D88" w:rsidP="00063D88">
      <w:pPr>
        <w:pStyle w:val="Default"/>
      </w:pPr>
    </w:p>
    <w:p w14:paraId="19E53456" w14:textId="18A4D43A" w:rsidR="00795744" w:rsidRPr="0011353F" w:rsidRDefault="00063D88" w:rsidP="00063D88">
      <w:pPr>
        <w:pStyle w:val="Default"/>
      </w:pPr>
      <w:r w:rsidRPr="0011353F">
        <w:t xml:space="preserve">Additionally, State agencies may request the data file for every CBG </w:t>
      </w:r>
      <w:r w:rsidR="007E39D4" w:rsidRPr="0011353F">
        <w:t>and Census Tract</w:t>
      </w:r>
      <w:r w:rsidR="00DC3F20" w:rsidRPr="0011353F">
        <w:t xml:space="preserve">, including </w:t>
      </w:r>
      <w:r w:rsidR="00D8222E" w:rsidRPr="0011353F">
        <w:t xml:space="preserve">Federal Information Processing Standards </w:t>
      </w:r>
      <w:r w:rsidR="00DC3F20" w:rsidRPr="0011353F">
        <w:t>(</w:t>
      </w:r>
      <w:r w:rsidR="00D8222E" w:rsidRPr="0011353F">
        <w:t>FIPS</w:t>
      </w:r>
      <w:r w:rsidR="00DC3F20" w:rsidRPr="0011353F">
        <w:t xml:space="preserve">) codes for </w:t>
      </w:r>
      <w:r w:rsidR="00D8222E" w:rsidRPr="0011353F">
        <w:t xml:space="preserve">Geographic Information System </w:t>
      </w:r>
      <w:r w:rsidR="00DC3F20" w:rsidRPr="0011353F">
        <w:t>(</w:t>
      </w:r>
      <w:r w:rsidR="00D8222E" w:rsidRPr="0011353F">
        <w:t>GIS</w:t>
      </w:r>
      <w:r w:rsidR="00DC3F20" w:rsidRPr="0011353F">
        <w:t>) efforts,</w:t>
      </w:r>
      <w:r w:rsidR="007E39D4" w:rsidRPr="0011353F">
        <w:t xml:space="preserve"> </w:t>
      </w:r>
      <w:r w:rsidRPr="0011353F">
        <w:t>in their State</w:t>
      </w:r>
      <w:r w:rsidR="00421D45" w:rsidRPr="0011353F">
        <w:t xml:space="preserve">. </w:t>
      </w:r>
      <w:r w:rsidR="00B62DD9">
        <w:t xml:space="preserve"> </w:t>
      </w:r>
      <w:r w:rsidRPr="0011353F">
        <w:t xml:space="preserve">State agencies </w:t>
      </w:r>
      <w:r w:rsidR="00421D45" w:rsidRPr="0011353F">
        <w:t xml:space="preserve">also </w:t>
      </w:r>
      <w:r w:rsidRPr="0011353F">
        <w:t>may provide these data to institutions and partners upon request.</w:t>
      </w:r>
      <w:r w:rsidR="00DC3F20" w:rsidRPr="0011353F">
        <w:t xml:space="preserve">  </w:t>
      </w:r>
    </w:p>
    <w:p w14:paraId="19E53457" w14:textId="77777777" w:rsidR="00BB3B0F" w:rsidRDefault="00BB3B0F" w:rsidP="00396E07">
      <w:pPr>
        <w:rPr>
          <w:b/>
          <w:szCs w:val="24"/>
        </w:rPr>
      </w:pPr>
    </w:p>
    <w:p w14:paraId="19E53458" w14:textId="77777777" w:rsidR="006A3E78" w:rsidRDefault="006A3E78" w:rsidP="006A3E78">
      <w:pPr>
        <w:rPr>
          <w:b/>
          <w:szCs w:val="24"/>
        </w:rPr>
      </w:pPr>
      <w:r>
        <w:rPr>
          <w:b/>
          <w:szCs w:val="24"/>
        </w:rPr>
        <w:t>Use of Other Approved</w:t>
      </w:r>
      <w:r w:rsidRPr="0011353F">
        <w:rPr>
          <w:b/>
          <w:szCs w:val="24"/>
        </w:rPr>
        <w:t xml:space="preserve"> Data Sources in SFSP</w:t>
      </w:r>
      <w:r>
        <w:rPr>
          <w:b/>
          <w:szCs w:val="24"/>
        </w:rPr>
        <w:t xml:space="preserve"> </w:t>
      </w:r>
    </w:p>
    <w:p w14:paraId="19E53459" w14:textId="77777777" w:rsidR="00867368" w:rsidRDefault="00867368" w:rsidP="006A3E78">
      <w:pPr>
        <w:rPr>
          <w:color w:val="000000"/>
          <w:szCs w:val="24"/>
          <w:shd w:val="clear" w:color="auto" w:fill="FFFFFF"/>
        </w:rPr>
      </w:pPr>
    </w:p>
    <w:p w14:paraId="19E5345A" w14:textId="214E2D0A" w:rsidR="006A3E78" w:rsidRPr="0011353F" w:rsidRDefault="006A3E78" w:rsidP="006A3E78">
      <w:pPr>
        <w:rPr>
          <w:szCs w:val="24"/>
        </w:rPr>
      </w:pPr>
      <w:r w:rsidRPr="0011353F">
        <w:rPr>
          <w:color w:val="000000"/>
          <w:szCs w:val="24"/>
          <w:shd w:val="clear" w:color="auto" w:fill="FFFFFF"/>
        </w:rPr>
        <w:t xml:space="preserve">In SFSP, area eligibility also may be established by using documentation from </w:t>
      </w:r>
      <w:r>
        <w:rPr>
          <w:color w:val="000000"/>
          <w:szCs w:val="24"/>
          <w:shd w:val="clear" w:color="auto" w:fill="FFFFFF"/>
        </w:rPr>
        <w:t xml:space="preserve">other </w:t>
      </w:r>
      <w:r w:rsidRPr="0011353F">
        <w:rPr>
          <w:color w:val="000000"/>
          <w:szCs w:val="24"/>
          <w:shd w:val="clear" w:color="auto" w:fill="FFFFFF"/>
        </w:rPr>
        <w:t xml:space="preserve">approved sources to demonstrate that </w:t>
      </w:r>
      <w:r w:rsidRPr="0011353F">
        <w:rPr>
          <w:szCs w:val="24"/>
        </w:rPr>
        <w:t>50 percent or more of the children</w:t>
      </w:r>
      <w:r w:rsidRPr="0011353F" w:rsidDel="00E67970">
        <w:rPr>
          <w:szCs w:val="24"/>
        </w:rPr>
        <w:t xml:space="preserve"> </w:t>
      </w:r>
      <w:r w:rsidRPr="0011353F">
        <w:rPr>
          <w:szCs w:val="24"/>
        </w:rPr>
        <w:t xml:space="preserve">in a defined area are eligible for free or reduced price school meals [7 CFR 225.2]. </w:t>
      </w:r>
      <w:r w:rsidR="00B62DD9">
        <w:rPr>
          <w:szCs w:val="24"/>
        </w:rPr>
        <w:t xml:space="preserve"> </w:t>
      </w:r>
      <w:r w:rsidRPr="0011353F">
        <w:rPr>
          <w:szCs w:val="24"/>
        </w:rPr>
        <w:t>Eligibility determinations using approved alternative data also remain in effect for five years.</w:t>
      </w:r>
      <w:r w:rsidR="00B62DD9">
        <w:rPr>
          <w:szCs w:val="24"/>
        </w:rPr>
        <w:t xml:space="preserve"> </w:t>
      </w:r>
      <w:r w:rsidRPr="0011353F">
        <w:rPr>
          <w:szCs w:val="24"/>
        </w:rPr>
        <w:t xml:space="preserve"> Approved alternative data sources may include:</w:t>
      </w:r>
    </w:p>
    <w:p w14:paraId="19E5345B" w14:textId="77777777" w:rsidR="006A3E78" w:rsidRPr="0011353F" w:rsidRDefault="006A3E78" w:rsidP="006A3E78">
      <w:pPr>
        <w:pStyle w:val="ListParagraph"/>
        <w:numPr>
          <w:ilvl w:val="0"/>
          <w:numId w:val="11"/>
        </w:numPr>
        <w:rPr>
          <w:szCs w:val="24"/>
        </w:rPr>
      </w:pPr>
      <w:r w:rsidRPr="0011353F">
        <w:rPr>
          <w:szCs w:val="24"/>
        </w:rPr>
        <w:t>Departments of Welfare</w:t>
      </w:r>
    </w:p>
    <w:p w14:paraId="19E5345C" w14:textId="77777777" w:rsidR="006A3E78" w:rsidRPr="0011353F" w:rsidRDefault="006A3E78" w:rsidP="006A3E78">
      <w:pPr>
        <w:pStyle w:val="ListParagraph"/>
        <w:numPr>
          <w:ilvl w:val="0"/>
          <w:numId w:val="11"/>
        </w:numPr>
        <w:rPr>
          <w:szCs w:val="24"/>
        </w:rPr>
      </w:pPr>
      <w:r w:rsidRPr="0011353F">
        <w:rPr>
          <w:szCs w:val="24"/>
        </w:rPr>
        <w:t>Zoning Commissions</w:t>
      </w:r>
    </w:p>
    <w:p w14:paraId="19E5345D" w14:textId="77777777" w:rsidR="006A3E78" w:rsidRPr="0011353F" w:rsidRDefault="006A3E78" w:rsidP="006A3E78">
      <w:pPr>
        <w:pStyle w:val="ListParagraph"/>
        <w:numPr>
          <w:ilvl w:val="0"/>
          <w:numId w:val="11"/>
        </w:numPr>
        <w:rPr>
          <w:szCs w:val="24"/>
        </w:rPr>
      </w:pPr>
      <w:r w:rsidRPr="0011353F">
        <w:rPr>
          <w:szCs w:val="24"/>
        </w:rPr>
        <w:t>USDA’s Rural Development Housing Authorities</w:t>
      </w:r>
    </w:p>
    <w:p w14:paraId="19E5345E" w14:textId="77777777" w:rsidR="006A3E78" w:rsidRPr="0011353F" w:rsidRDefault="006A3E78" w:rsidP="006A3E78">
      <w:pPr>
        <w:pStyle w:val="ListParagraph"/>
        <w:numPr>
          <w:ilvl w:val="0"/>
          <w:numId w:val="11"/>
        </w:numPr>
        <w:rPr>
          <w:szCs w:val="24"/>
        </w:rPr>
      </w:pPr>
      <w:r w:rsidRPr="0011353F">
        <w:rPr>
          <w:szCs w:val="24"/>
        </w:rPr>
        <w:t>Housing and Urban Development (HUD) Housing Authorities</w:t>
      </w:r>
    </w:p>
    <w:p w14:paraId="19E5345F" w14:textId="77777777" w:rsidR="006A3E78" w:rsidRPr="0011353F" w:rsidRDefault="006A3E78" w:rsidP="006A3E78">
      <w:pPr>
        <w:pStyle w:val="ListParagraph"/>
        <w:numPr>
          <w:ilvl w:val="0"/>
          <w:numId w:val="11"/>
        </w:numPr>
        <w:rPr>
          <w:szCs w:val="24"/>
        </w:rPr>
      </w:pPr>
      <w:r w:rsidRPr="0011353F">
        <w:rPr>
          <w:szCs w:val="24"/>
        </w:rPr>
        <w:t>Local Housing Authorities</w:t>
      </w:r>
    </w:p>
    <w:p w14:paraId="19E53460" w14:textId="77777777" w:rsidR="006A3E78" w:rsidRPr="0011353F" w:rsidRDefault="006A3E78" w:rsidP="006A3E78">
      <w:pPr>
        <w:pStyle w:val="Default"/>
        <w:rPr>
          <w:color w:val="auto"/>
        </w:rPr>
      </w:pPr>
    </w:p>
    <w:p w14:paraId="19E53461" w14:textId="4B2A099D" w:rsidR="006A3E78" w:rsidRPr="0011353F" w:rsidRDefault="006A3E78" w:rsidP="006A3E78">
      <w:pPr>
        <w:pStyle w:val="Default"/>
        <w:rPr>
          <w:color w:val="auto"/>
        </w:rPr>
      </w:pPr>
      <w:r w:rsidRPr="0011353F">
        <w:rPr>
          <w:color w:val="auto"/>
        </w:rPr>
        <w:t xml:space="preserve">For example, if an SFSP site is located in a HUD housing authority development and it does not qualify based on school or census data, the site may be considered area eligible using HUD data if residents of the housing development meet income eligibility requirements that are equivalent to or more restrictive than the SFSP requirements. </w:t>
      </w:r>
      <w:r w:rsidR="00C1507C">
        <w:rPr>
          <w:color w:val="auto"/>
        </w:rPr>
        <w:t xml:space="preserve"> </w:t>
      </w:r>
      <w:r w:rsidRPr="0011353F">
        <w:rPr>
          <w:color w:val="auto"/>
        </w:rPr>
        <w:t>The State agency and sponsor must work with the agency that maintains the data to confirm this information.</w:t>
      </w:r>
    </w:p>
    <w:p w14:paraId="19E53463" w14:textId="77777777" w:rsidR="006A3E78" w:rsidRPr="0011353F" w:rsidRDefault="006A3E78" w:rsidP="002530A2">
      <w:pPr>
        <w:pStyle w:val="Default"/>
        <w:keepNext/>
        <w:rPr>
          <w:b/>
          <w:color w:val="auto"/>
        </w:rPr>
      </w:pPr>
      <w:r w:rsidRPr="0011353F">
        <w:rPr>
          <w:b/>
          <w:color w:val="auto"/>
        </w:rPr>
        <w:t xml:space="preserve">SFSP </w:t>
      </w:r>
      <w:r>
        <w:rPr>
          <w:b/>
          <w:color w:val="auto"/>
        </w:rPr>
        <w:t xml:space="preserve">and SSO </w:t>
      </w:r>
      <w:r w:rsidRPr="0011353F">
        <w:rPr>
          <w:b/>
          <w:color w:val="auto"/>
        </w:rPr>
        <w:t>Sites Serving Children of Migrant Workers</w:t>
      </w:r>
    </w:p>
    <w:p w14:paraId="19E53464" w14:textId="77777777" w:rsidR="006A3E78" w:rsidRPr="0011353F" w:rsidRDefault="006A3E78" w:rsidP="002530A2">
      <w:pPr>
        <w:pStyle w:val="Default"/>
        <w:keepNext/>
        <w:rPr>
          <w:color w:val="auto"/>
        </w:rPr>
      </w:pPr>
    </w:p>
    <w:p w14:paraId="19E53465" w14:textId="15DFF0EA" w:rsidR="006A3E78" w:rsidRPr="0011353F" w:rsidRDefault="006A3E78" w:rsidP="002530A2">
      <w:pPr>
        <w:pStyle w:val="Default"/>
        <w:keepNext/>
      </w:pPr>
      <w:r w:rsidRPr="0011353F">
        <w:rPr>
          <w:color w:val="auto"/>
        </w:rPr>
        <w:t xml:space="preserve">Area eligibility also may be established upon a determination that </w:t>
      </w:r>
      <w:r>
        <w:rPr>
          <w:color w:val="auto"/>
        </w:rPr>
        <w:t xml:space="preserve">an SFSP or </w:t>
      </w:r>
      <w:r w:rsidR="00533C8A">
        <w:rPr>
          <w:color w:val="auto"/>
        </w:rPr>
        <w:t>SSO</w:t>
      </w:r>
      <w:r w:rsidRPr="0011353F">
        <w:rPr>
          <w:color w:val="auto"/>
        </w:rPr>
        <w:t xml:space="preserve"> site predominantly serves the children of migrant workers [</w:t>
      </w:r>
      <w:r w:rsidRPr="0011353F">
        <w:t xml:space="preserve">SFSP 04-2007, </w:t>
      </w:r>
      <w:r w:rsidRPr="0011353F">
        <w:rPr>
          <w:i/>
        </w:rPr>
        <w:t>Migrant Site Eligibility Determinations</w:t>
      </w:r>
      <w:r w:rsidRPr="0011353F">
        <w:t xml:space="preserve">, February 23, 2007, </w:t>
      </w:r>
      <w:hyperlink r:id="rId20" w:history="1">
        <w:r w:rsidRPr="0011353F">
          <w:rPr>
            <w:rStyle w:val="Hyperlink"/>
          </w:rPr>
          <w:t>http://www.fns.usda.gov/sites/default/files/SFSP_04-2007.pdf</w:t>
        </w:r>
      </w:hyperlink>
      <w:r w:rsidRPr="0011353F">
        <w:t xml:space="preserve">]. </w:t>
      </w:r>
      <w:r w:rsidR="00C1507C">
        <w:t xml:space="preserve"> </w:t>
      </w:r>
      <w:r w:rsidRPr="0011353F">
        <w:t xml:space="preserve">Migrant sites operate like open or restricted open sites, </w:t>
      </w:r>
      <w:r w:rsidRPr="0011353F">
        <w:rPr>
          <w:color w:val="auto"/>
        </w:rPr>
        <w:t xml:space="preserve">as defined by Program regulations at 7 CFR 225.2, </w:t>
      </w:r>
      <w:r w:rsidRPr="0011353F">
        <w:t xml:space="preserve">and may receive reimbursement for up to three meals per day served to any children in attendance [7 CFR 225.16(b)(4)]. </w:t>
      </w:r>
    </w:p>
    <w:p w14:paraId="19E53466" w14:textId="77777777" w:rsidR="006A3E78" w:rsidRPr="0011353F" w:rsidRDefault="006A3E78" w:rsidP="006A3E78">
      <w:pPr>
        <w:pStyle w:val="Default"/>
      </w:pPr>
    </w:p>
    <w:p w14:paraId="19E53467" w14:textId="040C17E7" w:rsidR="006A3E78" w:rsidRDefault="006A3E78" w:rsidP="006A3E78">
      <w:r w:rsidRPr="0011353F">
        <w:t>To confirm migrant status, sponsors must submit information obtained from a migrant organization that certifies that the site serves the children of migrant workers.</w:t>
      </w:r>
      <w:r w:rsidR="00B62DD9">
        <w:t xml:space="preserve"> </w:t>
      </w:r>
      <w:r w:rsidRPr="0011353F">
        <w:t xml:space="preserve"> If the site also serves non-migrant children, the sponsor must certify that the site predominantly serves migrant children [7 CFR 225.6(c</w:t>
      </w:r>
      <w:proofErr w:type="gramStart"/>
      <w:r w:rsidRPr="0011353F">
        <w:t>)(</w:t>
      </w:r>
      <w:proofErr w:type="gramEnd"/>
      <w:r w:rsidRPr="0011353F">
        <w:t xml:space="preserve">2)K)]. </w:t>
      </w:r>
      <w:r w:rsidR="00B62DD9">
        <w:t xml:space="preserve"> </w:t>
      </w:r>
      <w:r w:rsidRPr="0011353F">
        <w:t xml:space="preserve">Sites determined to be eligible based on information from migrant organizations are subject to annual redetermination. </w:t>
      </w:r>
      <w:r w:rsidR="00B62DD9">
        <w:t xml:space="preserve"> </w:t>
      </w:r>
      <w:r w:rsidRPr="0011353F">
        <w:t>State agencies are encouraged to work closely with sponsors of migrant sites to obtain documentation from migrant organizations</w:t>
      </w:r>
      <w:r>
        <w:t>.</w:t>
      </w:r>
    </w:p>
    <w:p w14:paraId="19E53468" w14:textId="77777777" w:rsidR="006A3E78" w:rsidRDefault="006A3E78" w:rsidP="00456C36">
      <w:pPr>
        <w:pStyle w:val="Default"/>
        <w:rPr>
          <w:b/>
        </w:rPr>
      </w:pPr>
    </w:p>
    <w:p w14:paraId="19E53469" w14:textId="77777777" w:rsidR="00456C36" w:rsidRPr="00C1110C" w:rsidRDefault="00456C36" w:rsidP="00456C36">
      <w:pPr>
        <w:pStyle w:val="Default"/>
        <w:rPr>
          <w:b/>
        </w:rPr>
      </w:pPr>
      <w:r w:rsidRPr="00C1110C">
        <w:rPr>
          <w:b/>
        </w:rPr>
        <w:t xml:space="preserve">SFSP </w:t>
      </w:r>
      <w:r w:rsidR="008A1EA3">
        <w:rPr>
          <w:b/>
        </w:rPr>
        <w:t xml:space="preserve">and SSO </w:t>
      </w:r>
      <w:r w:rsidRPr="00C1110C">
        <w:rPr>
          <w:b/>
        </w:rPr>
        <w:t>Sites Serving American Indian or Alaska Native Children</w:t>
      </w:r>
    </w:p>
    <w:p w14:paraId="19E5346A" w14:textId="77777777" w:rsidR="00456C36" w:rsidRPr="00C1110C" w:rsidRDefault="00456C36" w:rsidP="00456C36">
      <w:pPr>
        <w:pStyle w:val="p6"/>
        <w:rPr>
          <w:color w:val="000000"/>
        </w:rPr>
      </w:pPr>
    </w:p>
    <w:p w14:paraId="19E5346B" w14:textId="0CE7679F" w:rsidR="00456C36" w:rsidRDefault="00456C36" w:rsidP="00456C36">
      <w:pPr>
        <w:pStyle w:val="p6"/>
      </w:pPr>
      <w:r w:rsidRPr="00C1110C">
        <w:t>Area eligibility can be established for SFSP</w:t>
      </w:r>
      <w:r w:rsidR="006A3E78">
        <w:t xml:space="preserve"> and SSO</w:t>
      </w:r>
      <w:r w:rsidRPr="00C1110C">
        <w:t xml:space="preserve"> sites that are located in areas in which poor economic conditions exist. </w:t>
      </w:r>
      <w:r w:rsidR="00B62DD9">
        <w:t xml:space="preserve"> </w:t>
      </w:r>
      <w:r w:rsidRPr="00C1110C">
        <w:t xml:space="preserve">The </w:t>
      </w:r>
      <w:r>
        <w:t>SFSP</w:t>
      </w:r>
      <w:r w:rsidRPr="00C1110C">
        <w:t xml:space="preserve"> regulations define these areas as a geographic area where at least 50 percent of the children enrolled at the site are eligible for free or reduced priced meals under the </w:t>
      </w:r>
      <w:r>
        <w:t>NSLP</w:t>
      </w:r>
      <w:r w:rsidRPr="00C1110C">
        <w:t xml:space="preserve"> [7 CFR 225.2]. </w:t>
      </w:r>
      <w:r w:rsidR="00B62DD9">
        <w:t xml:space="preserve"> </w:t>
      </w:r>
      <w:r w:rsidRPr="00C1110C">
        <w:rPr>
          <w:color w:val="000000"/>
        </w:rPr>
        <w:t xml:space="preserve">Sponsors may document area eligibility by submitting documentation from a Tribal authority which certifies that the proposed site is located on a Tribal reservation, on trust land, or in an Alaska Native village where </w:t>
      </w:r>
      <w:r w:rsidRPr="00C1110C">
        <w:t>50 percent or more of the children</w:t>
      </w:r>
      <w:r w:rsidRPr="00C1110C" w:rsidDel="00E67970">
        <w:t xml:space="preserve"> </w:t>
      </w:r>
      <w:r w:rsidRPr="00C1110C">
        <w:t>in the defined area are eligible for free or reduced price school meals</w:t>
      </w:r>
      <w:r w:rsidRPr="00C1110C">
        <w:rPr>
          <w:color w:val="000000"/>
        </w:rPr>
        <w:t xml:space="preserve">. </w:t>
      </w:r>
      <w:r w:rsidR="00B62DD9">
        <w:rPr>
          <w:color w:val="000000"/>
        </w:rPr>
        <w:t xml:space="preserve"> </w:t>
      </w:r>
      <w:r w:rsidRPr="00C1110C">
        <w:t>This provision is similar to the provision in 7 CFR 225.6(c</w:t>
      </w:r>
      <w:proofErr w:type="gramStart"/>
      <w:r w:rsidRPr="00C1110C">
        <w:t>)(</w:t>
      </w:r>
      <w:proofErr w:type="gramEnd"/>
      <w:r w:rsidRPr="00C1110C">
        <w:t>2)(i)(K), which simplifies certification of migrant sites.</w:t>
      </w:r>
      <w:r w:rsidR="00467890">
        <w:t xml:space="preserve"> </w:t>
      </w:r>
      <w:r w:rsidR="00B62DD9">
        <w:t xml:space="preserve"> </w:t>
      </w:r>
      <w:r w:rsidRPr="00C1110C">
        <w:t xml:space="preserve">This policy supports the expansion of access to SFSP </w:t>
      </w:r>
      <w:r w:rsidR="00533C8A">
        <w:t xml:space="preserve">and SSO </w:t>
      </w:r>
      <w:r w:rsidRPr="00C1110C">
        <w:t xml:space="preserve">to American Indian and Alaska Native children and reduces paperwork burden for sponsors and families. </w:t>
      </w:r>
    </w:p>
    <w:p w14:paraId="19E5346C" w14:textId="77777777" w:rsidR="00456C36" w:rsidRPr="00456C36" w:rsidRDefault="00456C36" w:rsidP="00456C36">
      <w:pPr>
        <w:pStyle w:val="Default"/>
      </w:pPr>
    </w:p>
    <w:p w14:paraId="19E5346D" w14:textId="05407EFD" w:rsidR="00396E07" w:rsidRPr="0011353F" w:rsidRDefault="00396E07" w:rsidP="00396E07">
      <w:pPr>
        <w:rPr>
          <w:szCs w:val="24"/>
        </w:rPr>
      </w:pPr>
      <w:r w:rsidRPr="0011353F">
        <w:rPr>
          <w:szCs w:val="24"/>
        </w:rPr>
        <w:t xml:space="preserve">State agencies are reminded to distribute this information to Program operators immediately. </w:t>
      </w:r>
      <w:r w:rsidR="007167B2">
        <w:rPr>
          <w:szCs w:val="24"/>
        </w:rPr>
        <w:t xml:space="preserve"> </w:t>
      </w:r>
      <w:r w:rsidRPr="0011353F">
        <w:rPr>
          <w:szCs w:val="24"/>
        </w:rPr>
        <w:t>Program operators should direct any questions regarding this memorandum to the appropriate State agency</w:t>
      </w:r>
      <w:r w:rsidR="003C7AF9" w:rsidRPr="0011353F">
        <w:rPr>
          <w:szCs w:val="24"/>
        </w:rPr>
        <w:t xml:space="preserve">. </w:t>
      </w:r>
      <w:r w:rsidR="007167B2">
        <w:rPr>
          <w:szCs w:val="24"/>
        </w:rPr>
        <w:t xml:space="preserve"> </w:t>
      </w:r>
      <w:r w:rsidRPr="0011353F">
        <w:rPr>
          <w:szCs w:val="24"/>
        </w:rPr>
        <w:t xml:space="preserve">State agency contact information is available at </w:t>
      </w:r>
      <w:hyperlink r:id="rId21" w:history="1">
        <w:r w:rsidRPr="0011353F">
          <w:rPr>
            <w:rStyle w:val="Hyperlink"/>
            <w:szCs w:val="24"/>
          </w:rPr>
          <w:t>http://www.fns.usda.gov/cnd/Contacts/StateDirectory.htm</w:t>
        </w:r>
      </w:hyperlink>
      <w:r w:rsidR="003C7AF9" w:rsidRPr="0011353F">
        <w:rPr>
          <w:szCs w:val="24"/>
        </w:rPr>
        <w:t xml:space="preserve">. </w:t>
      </w:r>
      <w:r w:rsidR="007167B2">
        <w:rPr>
          <w:szCs w:val="24"/>
        </w:rPr>
        <w:t xml:space="preserve"> </w:t>
      </w:r>
      <w:r w:rsidRPr="0011353F">
        <w:rPr>
          <w:szCs w:val="24"/>
        </w:rPr>
        <w:t>State agencies should direct questions to the appropriate FNS Regional Office.</w:t>
      </w:r>
    </w:p>
    <w:p w14:paraId="19E5346E" w14:textId="77777777" w:rsidR="00396E07" w:rsidRPr="0011353F" w:rsidRDefault="00396E07" w:rsidP="00396E07">
      <w:pPr>
        <w:pStyle w:val="Default"/>
      </w:pPr>
    </w:p>
    <w:p w14:paraId="19E5346F" w14:textId="77777777" w:rsidR="00396E07" w:rsidRPr="0011353F" w:rsidRDefault="00396E07" w:rsidP="00DC7D9D">
      <w:pPr>
        <w:pStyle w:val="Default"/>
      </w:pPr>
    </w:p>
    <w:p w14:paraId="19E53470" w14:textId="77777777" w:rsidR="00396E07" w:rsidRPr="0011353F" w:rsidRDefault="00396E07" w:rsidP="00F419BE">
      <w:pPr>
        <w:pStyle w:val="Default"/>
      </w:pPr>
    </w:p>
    <w:p w14:paraId="19E53471" w14:textId="2AC47D4D" w:rsidR="00396E07" w:rsidRPr="0011353F" w:rsidRDefault="003E5C55" w:rsidP="00DC7D9D">
      <w:pPr>
        <w:pStyle w:val="Default"/>
      </w:pPr>
      <w:r>
        <w:rPr>
          <w:noProof/>
        </w:rPr>
        <w:drawing>
          <wp:inline distT="0" distB="0" distL="0" distR="0" wp14:anchorId="7A8415C7" wp14:editId="34221E98">
            <wp:extent cx="1540933" cy="611482"/>
            <wp:effectExtent l="0" t="0" r="2540" b="0"/>
            <wp:docPr id="1" name="Picture 1" descr="\\hq.fns.pri\no\office\SNP\CND\CND General\CND Correspondence Tracking\PartnerWeb Admin\Signatures\original_s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fns.pri\no\office\SNP\CND\CND General\CND Correspondence Tracking\PartnerWeb Admin\Signatures\original_sign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0937" cy="611484"/>
                    </a:xfrm>
                    <a:prstGeom prst="rect">
                      <a:avLst/>
                    </a:prstGeom>
                    <a:noFill/>
                    <a:ln>
                      <a:noFill/>
                    </a:ln>
                  </pic:spPr>
                </pic:pic>
              </a:graphicData>
            </a:graphic>
          </wp:inline>
        </w:drawing>
      </w:r>
    </w:p>
    <w:p w14:paraId="19E53472" w14:textId="77777777" w:rsidR="00867368" w:rsidRDefault="00867368" w:rsidP="00867368">
      <w:pPr>
        <w:rPr>
          <w:szCs w:val="24"/>
        </w:rPr>
      </w:pPr>
      <w:r>
        <w:rPr>
          <w:szCs w:val="24"/>
        </w:rPr>
        <w:t>Angela Kline</w:t>
      </w:r>
    </w:p>
    <w:p w14:paraId="19E53473" w14:textId="77777777" w:rsidR="00867368" w:rsidRDefault="00867368" w:rsidP="00867368">
      <w:pPr>
        <w:rPr>
          <w:szCs w:val="24"/>
        </w:rPr>
      </w:pPr>
      <w:r>
        <w:rPr>
          <w:szCs w:val="24"/>
        </w:rPr>
        <w:t xml:space="preserve">Director </w:t>
      </w:r>
    </w:p>
    <w:p w14:paraId="19E53474" w14:textId="77777777" w:rsidR="00867368" w:rsidRPr="004A4E9B" w:rsidRDefault="00867368" w:rsidP="00867368">
      <w:pPr>
        <w:rPr>
          <w:szCs w:val="24"/>
        </w:rPr>
      </w:pPr>
      <w:r>
        <w:rPr>
          <w:szCs w:val="24"/>
        </w:rPr>
        <w:t>Policy and Program Development Division</w:t>
      </w:r>
    </w:p>
    <w:p w14:paraId="19E53475" w14:textId="77777777" w:rsidR="00FF07D6" w:rsidRDefault="00867368" w:rsidP="00396E07">
      <w:pPr>
        <w:rPr>
          <w:szCs w:val="24"/>
        </w:rPr>
      </w:pPr>
      <w:r>
        <w:rPr>
          <w:szCs w:val="24"/>
        </w:rPr>
        <w:t>Child Nutrition Programs</w:t>
      </w:r>
    </w:p>
    <w:p w14:paraId="19E53476" w14:textId="77777777" w:rsidR="002530A2" w:rsidRDefault="002530A2" w:rsidP="00396E07">
      <w:pPr>
        <w:rPr>
          <w:szCs w:val="24"/>
        </w:rPr>
      </w:pPr>
    </w:p>
    <w:sectPr w:rsidR="002530A2" w:rsidSect="00110EE4">
      <w:headerReference w:type="default" r:id="rId23"/>
      <w:footerReference w:type="first" r:id="rId24"/>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871AA" w14:textId="77777777" w:rsidR="00E72568" w:rsidRDefault="00E72568" w:rsidP="00B02356">
      <w:r>
        <w:separator/>
      </w:r>
    </w:p>
  </w:endnote>
  <w:endnote w:type="continuationSeparator" w:id="0">
    <w:p w14:paraId="315B951E" w14:textId="77777777" w:rsidR="00E72568" w:rsidRDefault="00E72568" w:rsidP="00B0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53482" w14:textId="77777777" w:rsidR="00774965" w:rsidRDefault="00774965" w:rsidP="00110EE4">
    <w:pPr>
      <w:pStyle w:val="Footer"/>
      <w:jc w:val="center"/>
    </w:pPr>
    <w:r>
      <w:rPr>
        <w:rFonts w:ascii="Univers" w:hAnsi="Univers"/>
        <w:sz w:val="16"/>
      </w:rPr>
      <w:t>AN EQUAL OPPORTUNITY EMPLOYER</w:t>
    </w:r>
  </w:p>
  <w:p w14:paraId="19E53483" w14:textId="77777777" w:rsidR="00774965" w:rsidRDefault="00774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32978" w14:textId="77777777" w:rsidR="00E72568" w:rsidRDefault="00E72568" w:rsidP="00B02356">
      <w:r>
        <w:separator/>
      </w:r>
    </w:p>
  </w:footnote>
  <w:footnote w:type="continuationSeparator" w:id="0">
    <w:p w14:paraId="77A5B417" w14:textId="77777777" w:rsidR="00E72568" w:rsidRDefault="00E72568" w:rsidP="00B02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5347E" w14:textId="77777777" w:rsidR="00774965" w:rsidRDefault="00774965" w:rsidP="00396E07">
    <w:pPr>
      <w:autoSpaceDE w:val="0"/>
      <w:autoSpaceDN w:val="0"/>
      <w:adjustRightInd w:val="0"/>
      <w:rPr>
        <w:szCs w:val="24"/>
      </w:rPr>
    </w:pPr>
    <w:r>
      <w:rPr>
        <w:szCs w:val="24"/>
      </w:rPr>
      <w:t>Regional Directors</w:t>
    </w:r>
  </w:p>
  <w:p w14:paraId="19E5347F" w14:textId="77777777" w:rsidR="00774965" w:rsidRDefault="00774965" w:rsidP="00396E07">
    <w:pPr>
      <w:autoSpaceDE w:val="0"/>
      <w:autoSpaceDN w:val="0"/>
      <w:adjustRightInd w:val="0"/>
      <w:rPr>
        <w:szCs w:val="24"/>
      </w:rPr>
    </w:pPr>
    <w:r>
      <w:rPr>
        <w:szCs w:val="24"/>
      </w:rPr>
      <w:t>State Directors</w:t>
    </w:r>
  </w:p>
  <w:p w14:paraId="19E53480" w14:textId="77777777" w:rsidR="00774965" w:rsidRDefault="00774965">
    <w:pPr>
      <w:pStyle w:val="Header"/>
      <w:rPr>
        <w:szCs w:val="24"/>
      </w:rPr>
    </w:pPr>
    <w:r>
      <w:rPr>
        <w:szCs w:val="24"/>
      </w:rPr>
      <w:t xml:space="preserve">Page </w:t>
    </w:r>
    <w:r w:rsidR="00F51C6C" w:rsidRPr="00405342">
      <w:rPr>
        <w:szCs w:val="24"/>
      </w:rPr>
      <w:fldChar w:fldCharType="begin"/>
    </w:r>
    <w:r w:rsidRPr="00405342">
      <w:rPr>
        <w:szCs w:val="24"/>
      </w:rPr>
      <w:instrText xml:space="preserve"> PAGE   \* MERGEFORMAT </w:instrText>
    </w:r>
    <w:r w:rsidR="00F51C6C" w:rsidRPr="00405342">
      <w:rPr>
        <w:szCs w:val="24"/>
      </w:rPr>
      <w:fldChar w:fldCharType="separate"/>
    </w:r>
    <w:r w:rsidR="007059C9">
      <w:rPr>
        <w:noProof/>
        <w:szCs w:val="24"/>
      </w:rPr>
      <w:t>7</w:t>
    </w:r>
    <w:r w:rsidR="00F51C6C" w:rsidRPr="00405342">
      <w:rPr>
        <w:szCs w:val="24"/>
      </w:rPr>
      <w:fldChar w:fldCharType="end"/>
    </w:r>
  </w:p>
  <w:p w14:paraId="19E53481" w14:textId="77777777" w:rsidR="00774965" w:rsidRPr="00396E07" w:rsidRDefault="00774965">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04D"/>
    <w:multiLevelType w:val="hybridMultilevel"/>
    <w:tmpl w:val="6B52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12B9"/>
    <w:multiLevelType w:val="hybridMultilevel"/>
    <w:tmpl w:val="D4B6D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1103FF"/>
    <w:multiLevelType w:val="hybridMultilevel"/>
    <w:tmpl w:val="2026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F5F05"/>
    <w:multiLevelType w:val="hybridMultilevel"/>
    <w:tmpl w:val="2078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50374"/>
    <w:multiLevelType w:val="hybridMultilevel"/>
    <w:tmpl w:val="4DB6D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BDE3CF7"/>
    <w:multiLevelType w:val="hybridMultilevel"/>
    <w:tmpl w:val="A67ED6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D7704C1"/>
    <w:multiLevelType w:val="hybridMultilevel"/>
    <w:tmpl w:val="11BCC556"/>
    <w:lvl w:ilvl="0" w:tplc="0C86EF54">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530C4845"/>
    <w:multiLevelType w:val="hybridMultilevel"/>
    <w:tmpl w:val="AAEA85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D2650A0"/>
    <w:multiLevelType w:val="hybridMultilevel"/>
    <w:tmpl w:val="91AC0D9C"/>
    <w:lvl w:ilvl="0" w:tplc="DE5899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472148"/>
    <w:multiLevelType w:val="hybridMultilevel"/>
    <w:tmpl w:val="0FBE3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22EAF"/>
    <w:multiLevelType w:val="hybridMultilevel"/>
    <w:tmpl w:val="6EC01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6"/>
  </w:num>
  <w:num w:numId="4">
    <w:abstractNumId w:val="4"/>
  </w:num>
  <w:num w:numId="5">
    <w:abstractNumId w:val="8"/>
  </w:num>
  <w:num w:numId="6">
    <w:abstractNumId w:val="2"/>
  </w:num>
  <w:num w:numId="7">
    <w:abstractNumId w:val="3"/>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71"/>
    <w:rsid w:val="00016513"/>
    <w:rsid w:val="0003044E"/>
    <w:rsid w:val="00040864"/>
    <w:rsid w:val="000568F3"/>
    <w:rsid w:val="00063D88"/>
    <w:rsid w:val="000646E5"/>
    <w:rsid w:val="00076856"/>
    <w:rsid w:val="000770E9"/>
    <w:rsid w:val="00086BF6"/>
    <w:rsid w:val="000935DF"/>
    <w:rsid w:val="000B620B"/>
    <w:rsid w:val="000B6415"/>
    <w:rsid w:val="000B69FF"/>
    <w:rsid w:val="000C2C03"/>
    <w:rsid w:val="000C2D7C"/>
    <w:rsid w:val="000C4718"/>
    <w:rsid w:val="000C5ED2"/>
    <w:rsid w:val="000C762C"/>
    <w:rsid w:val="000D1957"/>
    <w:rsid w:val="000D19FB"/>
    <w:rsid w:val="000D44EE"/>
    <w:rsid w:val="000D75D3"/>
    <w:rsid w:val="000E27DB"/>
    <w:rsid w:val="000F7A00"/>
    <w:rsid w:val="00102450"/>
    <w:rsid w:val="00110046"/>
    <w:rsid w:val="00110EE4"/>
    <w:rsid w:val="0011353F"/>
    <w:rsid w:val="00120F36"/>
    <w:rsid w:val="0012295B"/>
    <w:rsid w:val="001279D3"/>
    <w:rsid w:val="00131354"/>
    <w:rsid w:val="001318E2"/>
    <w:rsid w:val="0014129A"/>
    <w:rsid w:val="00151061"/>
    <w:rsid w:val="001547A9"/>
    <w:rsid w:val="00162918"/>
    <w:rsid w:val="00170A7C"/>
    <w:rsid w:val="00171803"/>
    <w:rsid w:val="00172D82"/>
    <w:rsid w:val="00183846"/>
    <w:rsid w:val="00187BB0"/>
    <w:rsid w:val="00193B2A"/>
    <w:rsid w:val="00194663"/>
    <w:rsid w:val="00194BA3"/>
    <w:rsid w:val="001A2958"/>
    <w:rsid w:val="001A438B"/>
    <w:rsid w:val="001B4602"/>
    <w:rsid w:val="001B682A"/>
    <w:rsid w:val="001B7DE7"/>
    <w:rsid w:val="001C1643"/>
    <w:rsid w:val="001D5518"/>
    <w:rsid w:val="001E6266"/>
    <w:rsid w:val="001E797E"/>
    <w:rsid w:val="001F38C4"/>
    <w:rsid w:val="001F71B0"/>
    <w:rsid w:val="002207FE"/>
    <w:rsid w:val="00227CC8"/>
    <w:rsid w:val="002402D6"/>
    <w:rsid w:val="002451F3"/>
    <w:rsid w:val="00247B2B"/>
    <w:rsid w:val="002530A2"/>
    <w:rsid w:val="00275D4E"/>
    <w:rsid w:val="00282153"/>
    <w:rsid w:val="00282A5E"/>
    <w:rsid w:val="002832C3"/>
    <w:rsid w:val="002B178A"/>
    <w:rsid w:val="002B2275"/>
    <w:rsid w:val="002B5F67"/>
    <w:rsid w:val="002E08D9"/>
    <w:rsid w:val="002E1AED"/>
    <w:rsid w:val="002E1BE9"/>
    <w:rsid w:val="002E530B"/>
    <w:rsid w:val="002E5782"/>
    <w:rsid w:val="002E6630"/>
    <w:rsid w:val="002E76F0"/>
    <w:rsid w:val="002F2CDF"/>
    <w:rsid w:val="00310BE1"/>
    <w:rsid w:val="00317C3A"/>
    <w:rsid w:val="0032317E"/>
    <w:rsid w:val="003306F4"/>
    <w:rsid w:val="00341783"/>
    <w:rsid w:val="003469E6"/>
    <w:rsid w:val="00346AE6"/>
    <w:rsid w:val="003647BA"/>
    <w:rsid w:val="00366216"/>
    <w:rsid w:val="00380335"/>
    <w:rsid w:val="0039184A"/>
    <w:rsid w:val="00393C3D"/>
    <w:rsid w:val="00396E07"/>
    <w:rsid w:val="003A16E1"/>
    <w:rsid w:val="003A3BAF"/>
    <w:rsid w:val="003A6EDA"/>
    <w:rsid w:val="003B5730"/>
    <w:rsid w:val="003C4052"/>
    <w:rsid w:val="003C7AF9"/>
    <w:rsid w:val="003D5C03"/>
    <w:rsid w:val="003D715A"/>
    <w:rsid w:val="003E5C55"/>
    <w:rsid w:val="00421D45"/>
    <w:rsid w:val="00422DCF"/>
    <w:rsid w:val="00430A0F"/>
    <w:rsid w:val="004350FF"/>
    <w:rsid w:val="00446105"/>
    <w:rsid w:val="00456C36"/>
    <w:rsid w:val="0045762E"/>
    <w:rsid w:val="0046019B"/>
    <w:rsid w:val="00465468"/>
    <w:rsid w:val="00467890"/>
    <w:rsid w:val="004733DF"/>
    <w:rsid w:val="0049365F"/>
    <w:rsid w:val="0049710D"/>
    <w:rsid w:val="004C0A4A"/>
    <w:rsid w:val="004C688F"/>
    <w:rsid w:val="004D46F3"/>
    <w:rsid w:val="004E672B"/>
    <w:rsid w:val="004E7466"/>
    <w:rsid w:val="005049D2"/>
    <w:rsid w:val="00504D64"/>
    <w:rsid w:val="00513D9F"/>
    <w:rsid w:val="005168A2"/>
    <w:rsid w:val="00523A8B"/>
    <w:rsid w:val="00524645"/>
    <w:rsid w:val="00532EDC"/>
    <w:rsid w:val="00533C8A"/>
    <w:rsid w:val="00537E0A"/>
    <w:rsid w:val="00550B10"/>
    <w:rsid w:val="0055337F"/>
    <w:rsid w:val="00553472"/>
    <w:rsid w:val="00553E5D"/>
    <w:rsid w:val="00556839"/>
    <w:rsid w:val="00563A2A"/>
    <w:rsid w:val="00571CB2"/>
    <w:rsid w:val="00576A01"/>
    <w:rsid w:val="00595937"/>
    <w:rsid w:val="005A6462"/>
    <w:rsid w:val="005A79FC"/>
    <w:rsid w:val="005B2177"/>
    <w:rsid w:val="005B3667"/>
    <w:rsid w:val="005B70AA"/>
    <w:rsid w:val="005C191D"/>
    <w:rsid w:val="005C428B"/>
    <w:rsid w:val="005D4611"/>
    <w:rsid w:val="005E64D8"/>
    <w:rsid w:val="0060080F"/>
    <w:rsid w:val="00614715"/>
    <w:rsid w:val="00616B78"/>
    <w:rsid w:val="0062182B"/>
    <w:rsid w:val="00624CAF"/>
    <w:rsid w:val="00631989"/>
    <w:rsid w:val="00635283"/>
    <w:rsid w:val="00652A93"/>
    <w:rsid w:val="006544B0"/>
    <w:rsid w:val="006615D7"/>
    <w:rsid w:val="00662AD8"/>
    <w:rsid w:val="0067659A"/>
    <w:rsid w:val="00677296"/>
    <w:rsid w:val="00684575"/>
    <w:rsid w:val="00685CE9"/>
    <w:rsid w:val="00687A34"/>
    <w:rsid w:val="0069152E"/>
    <w:rsid w:val="006937B2"/>
    <w:rsid w:val="006961A2"/>
    <w:rsid w:val="006A33D1"/>
    <w:rsid w:val="006A3E78"/>
    <w:rsid w:val="006A4AD7"/>
    <w:rsid w:val="006A5622"/>
    <w:rsid w:val="006B0F46"/>
    <w:rsid w:val="006B136E"/>
    <w:rsid w:val="006B3DDF"/>
    <w:rsid w:val="006B6996"/>
    <w:rsid w:val="006B6DB9"/>
    <w:rsid w:val="006B7298"/>
    <w:rsid w:val="006D5B4C"/>
    <w:rsid w:val="006D5D2C"/>
    <w:rsid w:val="006F36D1"/>
    <w:rsid w:val="0070152E"/>
    <w:rsid w:val="007059C9"/>
    <w:rsid w:val="00707877"/>
    <w:rsid w:val="00710B20"/>
    <w:rsid w:val="007167B2"/>
    <w:rsid w:val="00721320"/>
    <w:rsid w:val="00721697"/>
    <w:rsid w:val="00740986"/>
    <w:rsid w:val="00741459"/>
    <w:rsid w:val="00743358"/>
    <w:rsid w:val="00743D11"/>
    <w:rsid w:val="00753CA7"/>
    <w:rsid w:val="00771067"/>
    <w:rsid w:val="00772DD7"/>
    <w:rsid w:val="00774965"/>
    <w:rsid w:val="00791484"/>
    <w:rsid w:val="007944B1"/>
    <w:rsid w:val="00795744"/>
    <w:rsid w:val="007A034A"/>
    <w:rsid w:val="007A103D"/>
    <w:rsid w:val="007A7FAD"/>
    <w:rsid w:val="007C227B"/>
    <w:rsid w:val="007D125A"/>
    <w:rsid w:val="007D44AB"/>
    <w:rsid w:val="007E0F02"/>
    <w:rsid w:val="007E39D4"/>
    <w:rsid w:val="007F3B23"/>
    <w:rsid w:val="007F6BDB"/>
    <w:rsid w:val="00803E22"/>
    <w:rsid w:val="00805659"/>
    <w:rsid w:val="0082753F"/>
    <w:rsid w:val="00827983"/>
    <w:rsid w:val="00832809"/>
    <w:rsid w:val="008467FA"/>
    <w:rsid w:val="00867368"/>
    <w:rsid w:val="00867917"/>
    <w:rsid w:val="0087374B"/>
    <w:rsid w:val="008818F8"/>
    <w:rsid w:val="008901E8"/>
    <w:rsid w:val="008A1EA3"/>
    <w:rsid w:val="008F3786"/>
    <w:rsid w:val="008F4AF9"/>
    <w:rsid w:val="008F78E3"/>
    <w:rsid w:val="009248F9"/>
    <w:rsid w:val="0092519D"/>
    <w:rsid w:val="00925EEC"/>
    <w:rsid w:val="009320B1"/>
    <w:rsid w:val="009364CA"/>
    <w:rsid w:val="009420C4"/>
    <w:rsid w:val="00981A1B"/>
    <w:rsid w:val="009858B0"/>
    <w:rsid w:val="009940D6"/>
    <w:rsid w:val="00994357"/>
    <w:rsid w:val="009A2199"/>
    <w:rsid w:val="009A353C"/>
    <w:rsid w:val="009B0E52"/>
    <w:rsid w:val="009B2B97"/>
    <w:rsid w:val="009B789F"/>
    <w:rsid w:val="009C6A76"/>
    <w:rsid w:val="009E191B"/>
    <w:rsid w:val="009E554D"/>
    <w:rsid w:val="009F00FC"/>
    <w:rsid w:val="009F0A0F"/>
    <w:rsid w:val="00A12A0D"/>
    <w:rsid w:val="00A21974"/>
    <w:rsid w:val="00A2223B"/>
    <w:rsid w:val="00A23180"/>
    <w:rsid w:val="00A34BE9"/>
    <w:rsid w:val="00A37A79"/>
    <w:rsid w:val="00A425FB"/>
    <w:rsid w:val="00A53902"/>
    <w:rsid w:val="00A557F5"/>
    <w:rsid w:val="00A57103"/>
    <w:rsid w:val="00A6605E"/>
    <w:rsid w:val="00A70BAD"/>
    <w:rsid w:val="00A7505A"/>
    <w:rsid w:val="00A87CDB"/>
    <w:rsid w:val="00A917FE"/>
    <w:rsid w:val="00A96122"/>
    <w:rsid w:val="00AA0C35"/>
    <w:rsid w:val="00AA1A84"/>
    <w:rsid w:val="00AB157B"/>
    <w:rsid w:val="00AB24EB"/>
    <w:rsid w:val="00AB4178"/>
    <w:rsid w:val="00AC5E55"/>
    <w:rsid w:val="00AE01F9"/>
    <w:rsid w:val="00AE029B"/>
    <w:rsid w:val="00AE3D72"/>
    <w:rsid w:val="00AF2E24"/>
    <w:rsid w:val="00AF3F73"/>
    <w:rsid w:val="00B00F43"/>
    <w:rsid w:val="00B02356"/>
    <w:rsid w:val="00B624F8"/>
    <w:rsid w:val="00B62DD9"/>
    <w:rsid w:val="00B72294"/>
    <w:rsid w:val="00B81A4F"/>
    <w:rsid w:val="00B8428F"/>
    <w:rsid w:val="00B85C18"/>
    <w:rsid w:val="00BB0489"/>
    <w:rsid w:val="00BB19A6"/>
    <w:rsid w:val="00BB3B0F"/>
    <w:rsid w:val="00BB6338"/>
    <w:rsid w:val="00BD03E3"/>
    <w:rsid w:val="00BD5608"/>
    <w:rsid w:val="00BF4634"/>
    <w:rsid w:val="00C01325"/>
    <w:rsid w:val="00C03319"/>
    <w:rsid w:val="00C04E34"/>
    <w:rsid w:val="00C136BA"/>
    <w:rsid w:val="00C1507C"/>
    <w:rsid w:val="00C165F7"/>
    <w:rsid w:val="00C215D8"/>
    <w:rsid w:val="00C23215"/>
    <w:rsid w:val="00C232CD"/>
    <w:rsid w:val="00C27966"/>
    <w:rsid w:val="00C27F6B"/>
    <w:rsid w:val="00C3330E"/>
    <w:rsid w:val="00C33CCA"/>
    <w:rsid w:val="00C46686"/>
    <w:rsid w:val="00C472B2"/>
    <w:rsid w:val="00C47511"/>
    <w:rsid w:val="00C518F0"/>
    <w:rsid w:val="00C5364E"/>
    <w:rsid w:val="00C53805"/>
    <w:rsid w:val="00C57335"/>
    <w:rsid w:val="00C65A76"/>
    <w:rsid w:val="00C67802"/>
    <w:rsid w:val="00C77D42"/>
    <w:rsid w:val="00C87E5A"/>
    <w:rsid w:val="00C937B6"/>
    <w:rsid w:val="00C954A0"/>
    <w:rsid w:val="00C96C63"/>
    <w:rsid w:val="00CA2DA7"/>
    <w:rsid w:val="00CB2E96"/>
    <w:rsid w:val="00CB6DDD"/>
    <w:rsid w:val="00CD414E"/>
    <w:rsid w:val="00CD61C2"/>
    <w:rsid w:val="00CE02C6"/>
    <w:rsid w:val="00CE5352"/>
    <w:rsid w:val="00CE78B0"/>
    <w:rsid w:val="00D003D4"/>
    <w:rsid w:val="00D11860"/>
    <w:rsid w:val="00D13C96"/>
    <w:rsid w:val="00D22AF6"/>
    <w:rsid w:val="00D233A0"/>
    <w:rsid w:val="00D23690"/>
    <w:rsid w:val="00D30794"/>
    <w:rsid w:val="00D35C92"/>
    <w:rsid w:val="00D567DF"/>
    <w:rsid w:val="00D601FC"/>
    <w:rsid w:val="00D70170"/>
    <w:rsid w:val="00D80309"/>
    <w:rsid w:val="00D8222E"/>
    <w:rsid w:val="00D828C1"/>
    <w:rsid w:val="00D953D9"/>
    <w:rsid w:val="00D97C1F"/>
    <w:rsid w:val="00DB5BB4"/>
    <w:rsid w:val="00DC3F20"/>
    <w:rsid w:val="00DC7D9D"/>
    <w:rsid w:val="00DF4E54"/>
    <w:rsid w:val="00E0313B"/>
    <w:rsid w:val="00E04095"/>
    <w:rsid w:val="00E10E11"/>
    <w:rsid w:val="00E20FEA"/>
    <w:rsid w:val="00E21E6A"/>
    <w:rsid w:val="00E300EF"/>
    <w:rsid w:val="00E34187"/>
    <w:rsid w:val="00E4127D"/>
    <w:rsid w:val="00E60695"/>
    <w:rsid w:val="00E626D6"/>
    <w:rsid w:val="00E65C9D"/>
    <w:rsid w:val="00E72568"/>
    <w:rsid w:val="00E73B8B"/>
    <w:rsid w:val="00E81136"/>
    <w:rsid w:val="00E82525"/>
    <w:rsid w:val="00E9690F"/>
    <w:rsid w:val="00EA61C8"/>
    <w:rsid w:val="00EB22B5"/>
    <w:rsid w:val="00EB38DF"/>
    <w:rsid w:val="00EB7BC7"/>
    <w:rsid w:val="00ED0E77"/>
    <w:rsid w:val="00EE6E26"/>
    <w:rsid w:val="00EF7EDC"/>
    <w:rsid w:val="00F043D1"/>
    <w:rsid w:val="00F06002"/>
    <w:rsid w:val="00F07CBF"/>
    <w:rsid w:val="00F25C83"/>
    <w:rsid w:val="00F30F21"/>
    <w:rsid w:val="00F33A0F"/>
    <w:rsid w:val="00F34F6E"/>
    <w:rsid w:val="00F419BE"/>
    <w:rsid w:val="00F47170"/>
    <w:rsid w:val="00F512E4"/>
    <w:rsid w:val="00F51C6C"/>
    <w:rsid w:val="00F54F71"/>
    <w:rsid w:val="00F56A00"/>
    <w:rsid w:val="00F61594"/>
    <w:rsid w:val="00F70B9E"/>
    <w:rsid w:val="00F75746"/>
    <w:rsid w:val="00F77A37"/>
    <w:rsid w:val="00F93314"/>
    <w:rsid w:val="00FA6626"/>
    <w:rsid w:val="00FB23CD"/>
    <w:rsid w:val="00FC16DE"/>
    <w:rsid w:val="00FC5D10"/>
    <w:rsid w:val="00FC6A9C"/>
    <w:rsid w:val="00FD3E52"/>
    <w:rsid w:val="00FE6B10"/>
    <w:rsid w:val="00FF07D6"/>
    <w:rsid w:val="00FF2CB3"/>
    <w:rsid w:val="00FF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9E533C5"/>
  <w15:docId w15:val="{9D95FDB8-5566-4398-BEBF-F4AB4202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93"/>
    <w:pPr>
      <w:spacing w:after="0" w:line="240" w:lineRule="auto"/>
    </w:pPr>
    <w:rPr>
      <w:rFonts w:ascii="Times New Roman" w:eastAsia="Times New Roman" w:hAnsi="Times New Roman" w:cs="Times New Roman"/>
      <w:sz w:val="24"/>
      <w:szCs w:val="20"/>
    </w:rPr>
  </w:style>
  <w:style w:type="paragraph" w:styleId="Heading2">
    <w:name w:val="heading 2"/>
    <w:basedOn w:val="Normal"/>
    <w:link w:val="Heading2Char"/>
    <w:uiPriority w:val="9"/>
    <w:qFormat/>
    <w:rsid w:val="00B842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4F71"/>
    <w:pPr>
      <w:tabs>
        <w:tab w:val="center" w:pos="4320"/>
        <w:tab w:val="right" w:pos="8640"/>
      </w:tabs>
    </w:pPr>
  </w:style>
  <w:style w:type="character" w:customStyle="1" w:styleId="FooterChar">
    <w:name w:val="Footer Char"/>
    <w:basedOn w:val="DefaultParagraphFont"/>
    <w:link w:val="Footer"/>
    <w:rsid w:val="00F54F71"/>
    <w:rPr>
      <w:rFonts w:ascii="Times New Roman" w:eastAsia="Times New Roman" w:hAnsi="Times New Roman" w:cs="Times New Roman"/>
      <w:sz w:val="20"/>
      <w:szCs w:val="20"/>
    </w:rPr>
  </w:style>
  <w:style w:type="paragraph" w:styleId="NormalWeb">
    <w:name w:val="Normal (Web)"/>
    <w:basedOn w:val="Normal"/>
    <w:next w:val="Normal"/>
    <w:uiPriority w:val="99"/>
    <w:rsid w:val="00F54F71"/>
    <w:pPr>
      <w:autoSpaceDE w:val="0"/>
      <w:autoSpaceDN w:val="0"/>
      <w:adjustRightInd w:val="0"/>
    </w:pPr>
    <w:rPr>
      <w:rFonts w:eastAsia="Calibri"/>
      <w:szCs w:val="24"/>
    </w:rPr>
  </w:style>
  <w:style w:type="character" w:styleId="Hyperlink">
    <w:name w:val="Hyperlink"/>
    <w:basedOn w:val="DefaultParagraphFont"/>
    <w:uiPriority w:val="99"/>
    <w:unhideWhenUsed/>
    <w:rsid w:val="00F54F71"/>
    <w:rPr>
      <w:color w:val="0000FF"/>
      <w:u w:val="single"/>
    </w:rPr>
  </w:style>
  <w:style w:type="paragraph" w:styleId="ListParagraph">
    <w:name w:val="List Paragraph"/>
    <w:basedOn w:val="Normal"/>
    <w:uiPriority w:val="34"/>
    <w:qFormat/>
    <w:rsid w:val="00170A7C"/>
    <w:pPr>
      <w:ind w:left="720"/>
      <w:contextualSpacing/>
    </w:pPr>
  </w:style>
  <w:style w:type="paragraph" w:styleId="BalloonText">
    <w:name w:val="Balloon Text"/>
    <w:basedOn w:val="Normal"/>
    <w:link w:val="BalloonTextChar"/>
    <w:uiPriority w:val="99"/>
    <w:semiHidden/>
    <w:unhideWhenUsed/>
    <w:rsid w:val="00D35C92"/>
    <w:rPr>
      <w:rFonts w:ascii="Tahoma" w:hAnsi="Tahoma" w:cs="Tahoma"/>
      <w:sz w:val="16"/>
      <w:szCs w:val="16"/>
    </w:rPr>
  </w:style>
  <w:style w:type="character" w:customStyle="1" w:styleId="BalloonTextChar">
    <w:name w:val="Balloon Text Char"/>
    <w:basedOn w:val="DefaultParagraphFont"/>
    <w:link w:val="BalloonText"/>
    <w:uiPriority w:val="99"/>
    <w:semiHidden/>
    <w:rsid w:val="00D35C9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76A01"/>
    <w:rPr>
      <w:sz w:val="16"/>
      <w:szCs w:val="16"/>
    </w:rPr>
  </w:style>
  <w:style w:type="paragraph" w:styleId="CommentText">
    <w:name w:val="annotation text"/>
    <w:basedOn w:val="Normal"/>
    <w:link w:val="CommentTextChar"/>
    <w:uiPriority w:val="99"/>
    <w:unhideWhenUsed/>
    <w:rsid w:val="00576A01"/>
  </w:style>
  <w:style w:type="character" w:customStyle="1" w:styleId="CommentTextChar">
    <w:name w:val="Comment Text Char"/>
    <w:basedOn w:val="DefaultParagraphFont"/>
    <w:link w:val="CommentText"/>
    <w:uiPriority w:val="99"/>
    <w:rsid w:val="00576A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6A01"/>
    <w:rPr>
      <w:b/>
      <w:bCs/>
    </w:rPr>
  </w:style>
  <w:style w:type="character" w:customStyle="1" w:styleId="CommentSubjectChar">
    <w:name w:val="Comment Subject Char"/>
    <w:basedOn w:val="CommentTextChar"/>
    <w:link w:val="CommentSubject"/>
    <w:uiPriority w:val="99"/>
    <w:semiHidden/>
    <w:rsid w:val="00576A01"/>
    <w:rPr>
      <w:rFonts w:ascii="Times New Roman" w:eastAsia="Times New Roman" w:hAnsi="Times New Roman" w:cs="Times New Roman"/>
      <w:b/>
      <w:bCs/>
      <w:sz w:val="20"/>
      <w:szCs w:val="20"/>
    </w:rPr>
  </w:style>
  <w:style w:type="paragraph" w:customStyle="1" w:styleId="Default">
    <w:name w:val="Default"/>
    <w:rsid w:val="007078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8428F"/>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B8428F"/>
  </w:style>
  <w:style w:type="paragraph" w:styleId="Header">
    <w:name w:val="header"/>
    <w:basedOn w:val="Normal"/>
    <w:link w:val="HeaderChar"/>
    <w:unhideWhenUsed/>
    <w:rsid w:val="00396E07"/>
    <w:pPr>
      <w:tabs>
        <w:tab w:val="center" w:pos="4680"/>
        <w:tab w:val="right" w:pos="9360"/>
      </w:tabs>
    </w:pPr>
  </w:style>
  <w:style w:type="character" w:customStyle="1" w:styleId="HeaderChar">
    <w:name w:val="Header Char"/>
    <w:basedOn w:val="DefaultParagraphFont"/>
    <w:link w:val="Header"/>
    <w:uiPriority w:val="99"/>
    <w:semiHidden/>
    <w:rsid w:val="00396E07"/>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01325"/>
    <w:rPr>
      <w:color w:val="800080" w:themeColor="followedHyperlink"/>
      <w:u w:val="single"/>
    </w:rPr>
  </w:style>
  <w:style w:type="paragraph" w:styleId="Revision">
    <w:name w:val="Revision"/>
    <w:hidden/>
    <w:uiPriority w:val="99"/>
    <w:semiHidden/>
    <w:rsid w:val="00827983"/>
    <w:pPr>
      <w:spacing w:after="0" w:line="240" w:lineRule="auto"/>
    </w:pPr>
    <w:rPr>
      <w:rFonts w:ascii="Times New Roman" w:eastAsia="Times New Roman" w:hAnsi="Times New Roman" w:cs="Times New Roman"/>
      <w:sz w:val="24"/>
      <w:szCs w:val="20"/>
    </w:rPr>
  </w:style>
  <w:style w:type="paragraph" w:customStyle="1" w:styleId="p6">
    <w:name w:val="p6"/>
    <w:basedOn w:val="Default"/>
    <w:next w:val="Default"/>
    <w:uiPriority w:val="99"/>
    <w:rsid w:val="00456C36"/>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8457">
      <w:bodyDiv w:val="1"/>
      <w:marLeft w:val="0"/>
      <w:marRight w:val="0"/>
      <w:marTop w:val="0"/>
      <w:marBottom w:val="0"/>
      <w:divBdr>
        <w:top w:val="none" w:sz="0" w:space="0" w:color="auto"/>
        <w:left w:val="none" w:sz="0" w:space="0" w:color="auto"/>
        <w:bottom w:val="none" w:sz="0" w:space="0" w:color="auto"/>
        <w:right w:val="none" w:sz="0" w:space="0" w:color="auto"/>
      </w:divBdr>
    </w:div>
    <w:div w:id="230191511">
      <w:bodyDiv w:val="1"/>
      <w:marLeft w:val="0"/>
      <w:marRight w:val="0"/>
      <w:marTop w:val="0"/>
      <w:marBottom w:val="0"/>
      <w:divBdr>
        <w:top w:val="none" w:sz="0" w:space="0" w:color="auto"/>
        <w:left w:val="none" w:sz="0" w:space="0" w:color="auto"/>
        <w:bottom w:val="none" w:sz="0" w:space="0" w:color="auto"/>
        <w:right w:val="none" w:sz="0" w:space="0" w:color="auto"/>
      </w:divBdr>
    </w:div>
    <w:div w:id="258947724">
      <w:bodyDiv w:val="1"/>
      <w:marLeft w:val="0"/>
      <w:marRight w:val="0"/>
      <w:marTop w:val="0"/>
      <w:marBottom w:val="0"/>
      <w:divBdr>
        <w:top w:val="none" w:sz="0" w:space="0" w:color="auto"/>
        <w:left w:val="none" w:sz="0" w:space="0" w:color="auto"/>
        <w:bottom w:val="none" w:sz="0" w:space="0" w:color="auto"/>
        <w:right w:val="none" w:sz="0" w:space="0" w:color="auto"/>
      </w:divBdr>
    </w:div>
    <w:div w:id="338042144">
      <w:bodyDiv w:val="1"/>
      <w:marLeft w:val="0"/>
      <w:marRight w:val="0"/>
      <w:marTop w:val="0"/>
      <w:marBottom w:val="0"/>
      <w:divBdr>
        <w:top w:val="none" w:sz="0" w:space="0" w:color="auto"/>
        <w:left w:val="none" w:sz="0" w:space="0" w:color="auto"/>
        <w:bottom w:val="none" w:sz="0" w:space="0" w:color="auto"/>
        <w:right w:val="none" w:sz="0" w:space="0" w:color="auto"/>
      </w:divBdr>
      <w:divsChild>
        <w:div w:id="679084977">
          <w:marLeft w:val="0"/>
          <w:marRight w:val="0"/>
          <w:marTop w:val="0"/>
          <w:marBottom w:val="0"/>
          <w:divBdr>
            <w:top w:val="none" w:sz="0" w:space="0" w:color="auto"/>
            <w:left w:val="none" w:sz="0" w:space="0" w:color="auto"/>
            <w:bottom w:val="none" w:sz="0" w:space="0" w:color="auto"/>
            <w:right w:val="none" w:sz="0" w:space="0" w:color="auto"/>
          </w:divBdr>
        </w:div>
      </w:divsChild>
    </w:div>
    <w:div w:id="465317175">
      <w:bodyDiv w:val="1"/>
      <w:marLeft w:val="0"/>
      <w:marRight w:val="0"/>
      <w:marTop w:val="0"/>
      <w:marBottom w:val="0"/>
      <w:divBdr>
        <w:top w:val="none" w:sz="0" w:space="0" w:color="auto"/>
        <w:left w:val="none" w:sz="0" w:space="0" w:color="auto"/>
        <w:bottom w:val="none" w:sz="0" w:space="0" w:color="auto"/>
        <w:right w:val="none" w:sz="0" w:space="0" w:color="auto"/>
      </w:divBdr>
      <w:divsChild>
        <w:div w:id="1890992800">
          <w:marLeft w:val="0"/>
          <w:marRight w:val="0"/>
          <w:marTop w:val="0"/>
          <w:marBottom w:val="0"/>
          <w:divBdr>
            <w:top w:val="none" w:sz="0" w:space="0" w:color="auto"/>
            <w:left w:val="none" w:sz="0" w:space="0" w:color="auto"/>
            <w:bottom w:val="none" w:sz="0" w:space="0" w:color="auto"/>
            <w:right w:val="none" w:sz="0" w:space="0" w:color="auto"/>
          </w:divBdr>
        </w:div>
      </w:divsChild>
    </w:div>
    <w:div w:id="660933367">
      <w:bodyDiv w:val="1"/>
      <w:marLeft w:val="0"/>
      <w:marRight w:val="0"/>
      <w:marTop w:val="0"/>
      <w:marBottom w:val="0"/>
      <w:divBdr>
        <w:top w:val="none" w:sz="0" w:space="0" w:color="auto"/>
        <w:left w:val="none" w:sz="0" w:space="0" w:color="auto"/>
        <w:bottom w:val="none" w:sz="0" w:space="0" w:color="auto"/>
        <w:right w:val="none" w:sz="0" w:space="0" w:color="auto"/>
      </w:divBdr>
    </w:div>
    <w:div w:id="661549530">
      <w:bodyDiv w:val="1"/>
      <w:marLeft w:val="0"/>
      <w:marRight w:val="0"/>
      <w:marTop w:val="0"/>
      <w:marBottom w:val="0"/>
      <w:divBdr>
        <w:top w:val="none" w:sz="0" w:space="0" w:color="auto"/>
        <w:left w:val="none" w:sz="0" w:space="0" w:color="auto"/>
        <w:bottom w:val="none" w:sz="0" w:space="0" w:color="auto"/>
        <w:right w:val="none" w:sz="0" w:space="0" w:color="auto"/>
      </w:divBdr>
    </w:div>
    <w:div w:id="821964036">
      <w:bodyDiv w:val="1"/>
      <w:marLeft w:val="0"/>
      <w:marRight w:val="0"/>
      <w:marTop w:val="0"/>
      <w:marBottom w:val="0"/>
      <w:divBdr>
        <w:top w:val="none" w:sz="0" w:space="0" w:color="auto"/>
        <w:left w:val="none" w:sz="0" w:space="0" w:color="auto"/>
        <w:bottom w:val="none" w:sz="0" w:space="0" w:color="auto"/>
        <w:right w:val="none" w:sz="0" w:space="0" w:color="auto"/>
      </w:divBdr>
      <w:divsChild>
        <w:div w:id="571355531">
          <w:marLeft w:val="0"/>
          <w:marRight w:val="0"/>
          <w:marTop w:val="0"/>
          <w:marBottom w:val="0"/>
          <w:divBdr>
            <w:top w:val="none" w:sz="0" w:space="0" w:color="auto"/>
            <w:left w:val="none" w:sz="0" w:space="0" w:color="auto"/>
            <w:bottom w:val="none" w:sz="0" w:space="0" w:color="auto"/>
            <w:right w:val="none" w:sz="0" w:space="0" w:color="auto"/>
          </w:divBdr>
        </w:div>
      </w:divsChild>
    </w:div>
    <w:div w:id="830565439">
      <w:bodyDiv w:val="1"/>
      <w:marLeft w:val="0"/>
      <w:marRight w:val="0"/>
      <w:marTop w:val="0"/>
      <w:marBottom w:val="0"/>
      <w:divBdr>
        <w:top w:val="none" w:sz="0" w:space="0" w:color="auto"/>
        <w:left w:val="none" w:sz="0" w:space="0" w:color="auto"/>
        <w:bottom w:val="none" w:sz="0" w:space="0" w:color="auto"/>
        <w:right w:val="none" w:sz="0" w:space="0" w:color="auto"/>
      </w:divBdr>
    </w:div>
    <w:div w:id="906190141">
      <w:bodyDiv w:val="1"/>
      <w:marLeft w:val="0"/>
      <w:marRight w:val="0"/>
      <w:marTop w:val="0"/>
      <w:marBottom w:val="0"/>
      <w:divBdr>
        <w:top w:val="none" w:sz="0" w:space="0" w:color="auto"/>
        <w:left w:val="none" w:sz="0" w:space="0" w:color="auto"/>
        <w:bottom w:val="none" w:sz="0" w:space="0" w:color="auto"/>
        <w:right w:val="none" w:sz="0" w:space="0" w:color="auto"/>
      </w:divBdr>
      <w:divsChild>
        <w:div w:id="509225675">
          <w:marLeft w:val="0"/>
          <w:marRight w:val="0"/>
          <w:marTop w:val="0"/>
          <w:marBottom w:val="0"/>
          <w:divBdr>
            <w:top w:val="none" w:sz="0" w:space="0" w:color="auto"/>
            <w:left w:val="none" w:sz="0" w:space="0" w:color="auto"/>
            <w:bottom w:val="none" w:sz="0" w:space="0" w:color="auto"/>
            <w:right w:val="none" w:sz="0" w:space="0" w:color="auto"/>
          </w:divBdr>
        </w:div>
      </w:divsChild>
    </w:div>
    <w:div w:id="1306812929">
      <w:bodyDiv w:val="1"/>
      <w:marLeft w:val="0"/>
      <w:marRight w:val="0"/>
      <w:marTop w:val="0"/>
      <w:marBottom w:val="0"/>
      <w:divBdr>
        <w:top w:val="none" w:sz="0" w:space="0" w:color="auto"/>
        <w:left w:val="none" w:sz="0" w:space="0" w:color="auto"/>
        <w:bottom w:val="none" w:sz="0" w:space="0" w:color="auto"/>
        <w:right w:val="none" w:sz="0" w:space="0" w:color="auto"/>
      </w:divBdr>
      <w:divsChild>
        <w:div w:id="201403767">
          <w:marLeft w:val="0"/>
          <w:marRight w:val="0"/>
          <w:marTop w:val="0"/>
          <w:marBottom w:val="0"/>
          <w:divBdr>
            <w:top w:val="none" w:sz="0" w:space="0" w:color="auto"/>
            <w:left w:val="none" w:sz="0" w:space="0" w:color="auto"/>
            <w:bottom w:val="none" w:sz="0" w:space="0" w:color="auto"/>
            <w:right w:val="none" w:sz="0" w:space="0" w:color="auto"/>
          </w:divBdr>
        </w:div>
      </w:divsChild>
    </w:div>
    <w:div w:id="1990477948">
      <w:bodyDiv w:val="1"/>
      <w:marLeft w:val="0"/>
      <w:marRight w:val="0"/>
      <w:marTop w:val="0"/>
      <w:marBottom w:val="0"/>
      <w:divBdr>
        <w:top w:val="none" w:sz="0" w:space="0" w:color="auto"/>
        <w:left w:val="none" w:sz="0" w:space="0" w:color="auto"/>
        <w:bottom w:val="none" w:sz="0" w:space="0" w:color="auto"/>
        <w:right w:val="none" w:sz="0" w:space="0" w:color="auto"/>
      </w:divBdr>
    </w:div>
    <w:div w:id="209165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ns.usda.gov/school-meals/opportunity-schools" TargetMode="External"/><Relationship Id="rId18" Type="http://schemas.openxmlformats.org/officeDocument/2006/relationships/hyperlink" Target="http://www.fns.usda.gov/areaeligibil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ns.usda.gov/cnd/Contacts/StateDirectory.htm"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public.govdelivery.com/accounts/USFNS/subscriber/new?pop=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rtnerweb.usda.gov" TargetMode="External"/><Relationship Id="rId20" Type="http://schemas.openxmlformats.org/officeDocument/2006/relationships/hyperlink" Target="http://www.fns.usda.gov/sites/default/files/SFSP_04-2007.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fns.usda.gov/school-meals/community-eligibility-provision"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fns.usda.gov/sites/default/files/Census%20Instructions%202014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ns.usda.gov/effects-busing-area-eligibility-cacfp-sfsp-and-afterschool-snack-and-seamless-summer-option-served"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Status xmlns="76414393-1dbb-4232-8691-371b83ebe9e8" xsi:nil="true"/>
    <ParentID xmlns="76414393-1dbb-4232-8691-371b83ebe9e8">34503</ParentID>
    <Document_x0020_Type xmlns="76414393-1dbb-4232-8691-371b83ebe9e8" xsi:nil="true"/>
    <ParentContentType xmlns="76414393-1dbb-4232-8691-371b83ebe9e8">Work Package</ParentContentType>
  </documentManagement>
</p:properties>
</file>

<file path=customXml/item3.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6701-AFE8-4FB6-867F-ABD7DA005B8A}">
  <ds:schemaRefs>
    <ds:schemaRef ds:uri="http://schemas.microsoft.com/sharepoint/v3/contenttype/forms"/>
  </ds:schemaRefs>
</ds:datastoreItem>
</file>

<file path=customXml/itemProps2.xml><?xml version="1.0" encoding="utf-8"?>
<ds:datastoreItem xmlns:ds="http://schemas.openxmlformats.org/officeDocument/2006/customXml" ds:itemID="{0AACDC4A-995B-4AD2-98CF-1254921266D7}">
  <ds:schemaRefs>
    <ds:schemaRef ds:uri="http://schemas.openxmlformats.org/package/2006/metadata/core-properties"/>
    <ds:schemaRef ds:uri="http://purl.org/dc/dcmitype/"/>
    <ds:schemaRef ds:uri="http://www.w3.org/XML/1998/namespace"/>
    <ds:schemaRef ds:uri="http://schemas.microsoft.com/office/2006/documentManagement/types"/>
    <ds:schemaRef ds:uri="76414393-1dbb-4232-8691-371b83ebe9e8"/>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4F874CF-F87F-4FAE-9548-A11567033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1C2F6B-872D-4DB7-9CBF-AC216DB38408}">
  <ds:schemaRefs>
    <ds:schemaRef ds:uri="http://schemas.microsoft.com/sharepoint/events"/>
  </ds:schemaRefs>
</ds:datastoreItem>
</file>

<file path=customXml/itemProps5.xml><?xml version="1.0" encoding="utf-8"?>
<ds:datastoreItem xmlns:ds="http://schemas.openxmlformats.org/officeDocument/2006/customXml" ds:itemID="{162EE7C7-C0DE-4B1C-B7AB-F5251B4D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Hardcopy</vt:lpstr>
    </vt:vector>
  </TitlesOfParts>
  <Company>FNS, USDA</Company>
  <LinksUpToDate>false</LinksUpToDate>
  <CharactersWithSpaces>18131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Hardcopy</dc:title>
  <dc:creator>StevenJ</dc:creator>
  <cp:lastModifiedBy>Susan Benning</cp:lastModifiedBy>
  <cp:revision>2</cp:revision>
  <cp:lastPrinted>2014-11-21T20:06:00Z</cp:lastPrinted>
  <dcterms:created xsi:type="dcterms:W3CDTF">2015-07-28T19:52:00Z</dcterms:created>
  <dcterms:modified xsi:type="dcterms:W3CDTF">2015-07-28T19:52:00Z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