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32" w:rsidRPr="000D5848" w:rsidRDefault="00C33532" w:rsidP="00C33532">
      <w:pPr>
        <w:spacing w:after="0" w:line="240" w:lineRule="auto"/>
        <w:jc w:val="center"/>
        <w:rPr>
          <w:rFonts w:ascii="Titillium Web" w:eastAsia="Times New Roman" w:hAnsi="Titillium Web" w:cstheme="minorHAnsi"/>
          <w:color w:val="00A1E0"/>
          <w:sz w:val="44"/>
          <w:szCs w:val="48"/>
        </w:rPr>
      </w:pPr>
      <w:r w:rsidRPr="000D5848">
        <w:rPr>
          <w:rFonts w:ascii="Titillium Web" w:eastAsia="Times New Roman" w:hAnsi="Titillium Web" w:cstheme="minorHAnsi"/>
          <w:b/>
          <w:bCs/>
          <w:color w:val="00A1E0"/>
          <w:sz w:val="44"/>
          <w:szCs w:val="48"/>
        </w:rPr>
        <w:t>ALTERNATIVE SCHEDULE REQUEST CHECKLIST</w:t>
      </w:r>
    </w:p>
    <w:p w:rsidR="00C33532" w:rsidRPr="000D5848" w:rsidRDefault="00C33532" w:rsidP="00C33532">
      <w:pPr>
        <w:spacing w:after="0" w:line="240" w:lineRule="auto"/>
        <w:rPr>
          <w:rFonts w:ascii="Titillium Web" w:eastAsia="Times New Roman" w:hAnsi="Titillium Web" w:cstheme="minorHAnsi"/>
          <w:color w:val="000000"/>
          <w:u w:val="single"/>
        </w:rPr>
      </w:pPr>
    </w:p>
    <w:p w:rsidR="00706691" w:rsidRPr="000D5848" w:rsidRDefault="00C33532" w:rsidP="00C33532">
      <w:pPr>
        <w:spacing w:after="0" w:line="240" w:lineRule="auto"/>
        <w:rPr>
          <w:rFonts w:ascii="Titillium Web" w:eastAsia="Times New Roman" w:hAnsi="Titillium Web" w:cstheme="minorHAnsi"/>
          <w:color w:val="000000"/>
        </w:rPr>
      </w:pPr>
      <w:r w:rsidRPr="000D5848">
        <w:rPr>
          <w:rFonts w:ascii="Titillium Web" w:eastAsia="Times New Roman" w:hAnsi="Titillium Web" w:cstheme="minorHAnsi"/>
          <w:color w:val="000000"/>
          <w:u w:val="single"/>
        </w:rPr>
        <w:t>Directions</w:t>
      </w:r>
      <w:r w:rsidRPr="000D5848">
        <w:rPr>
          <w:rFonts w:ascii="Titillium Web" w:eastAsia="Times New Roman" w:hAnsi="Titillium Web" w:cstheme="minorHAnsi"/>
          <w:color w:val="000000"/>
        </w:rPr>
        <w:t xml:space="preserve">: </w:t>
      </w:r>
      <w:hyperlink r:id="rId7" w:history="1">
        <w:r w:rsidR="00936DC2" w:rsidRPr="009347D0">
          <w:rPr>
            <w:rStyle w:val="Hyperlink"/>
            <w:rFonts w:ascii="Titillium Web" w:eastAsia="Times New Roman" w:hAnsi="Titillium Web" w:cstheme="minorHAnsi"/>
            <w:b/>
            <w:color w:val="00A1E0"/>
            <w:u w:val="none"/>
          </w:rPr>
          <w:t xml:space="preserve">Submit </w:t>
        </w:r>
        <w:r w:rsidRPr="009347D0">
          <w:rPr>
            <w:rStyle w:val="Hyperlink"/>
            <w:rFonts w:ascii="Titillium Web" w:eastAsia="Times New Roman" w:hAnsi="Titillium Web" w:cstheme="minorHAnsi"/>
            <w:b/>
            <w:color w:val="00A1E0"/>
            <w:u w:val="none"/>
          </w:rPr>
          <w:t>online application</w:t>
        </w:r>
        <w:r w:rsidR="009347D0" w:rsidRPr="009347D0">
          <w:rPr>
            <w:rStyle w:val="Hyperlink"/>
            <w:rFonts w:ascii="Titillium Web" w:eastAsia="Times New Roman" w:hAnsi="Titillium Web" w:cstheme="minorHAnsi"/>
            <w:b/>
            <w:color w:val="00A1E0"/>
            <w:u w:val="none"/>
          </w:rPr>
          <w:t xml:space="preserve"> here</w:t>
        </w:r>
      </w:hyperlink>
    </w:p>
    <w:p w:rsidR="00706691" w:rsidRPr="000D5848" w:rsidRDefault="00706691" w:rsidP="00C33532">
      <w:pPr>
        <w:spacing w:after="0" w:line="240" w:lineRule="auto"/>
        <w:rPr>
          <w:rFonts w:ascii="Titillium Web" w:eastAsia="Times New Roman" w:hAnsi="Titillium Web" w:cstheme="minorHAnsi"/>
          <w:color w:val="000000"/>
        </w:rPr>
      </w:pPr>
    </w:p>
    <w:p w:rsidR="00C33532" w:rsidRPr="000D5848" w:rsidRDefault="00C33532" w:rsidP="00C33532">
      <w:p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  <w:color w:val="000000"/>
        </w:rPr>
        <w:t xml:space="preserve">For consideration during the State Board of Education’s March meeting, submit your request no later than </w:t>
      </w:r>
      <w:r w:rsidRPr="000D5848">
        <w:rPr>
          <w:rFonts w:ascii="Titillium Web" w:eastAsia="Times New Roman" w:hAnsi="Titillium Web" w:cstheme="minorHAnsi"/>
          <w:b/>
          <w:bCs/>
          <w:color w:val="000000"/>
        </w:rPr>
        <w:t>March 4, 2018</w:t>
      </w:r>
      <w:r w:rsidRPr="000D5848">
        <w:rPr>
          <w:rFonts w:ascii="Titillium Web" w:eastAsia="Times New Roman" w:hAnsi="Titillium Web" w:cstheme="minorHAnsi"/>
          <w:color w:val="000000"/>
        </w:rPr>
        <w:t xml:space="preserve">. All other requests must be submitted no later than </w:t>
      </w:r>
      <w:r w:rsidRPr="009347D0">
        <w:rPr>
          <w:rFonts w:ascii="Titillium Web" w:eastAsia="Times New Roman" w:hAnsi="Titillium Web" w:cstheme="minorHAnsi"/>
          <w:b/>
          <w:bCs/>
          <w:color w:val="000000"/>
        </w:rPr>
        <w:t>May 1, 2018</w:t>
      </w:r>
      <w:r w:rsidRPr="000D5848">
        <w:rPr>
          <w:rFonts w:ascii="Titillium Web" w:eastAsia="Times New Roman" w:hAnsi="Titillium Web" w:cstheme="minorHAnsi"/>
          <w:color w:val="000000"/>
        </w:rPr>
        <w:t>.</w:t>
      </w:r>
    </w:p>
    <w:p w:rsidR="00C33532" w:rsidRPr="000D5848" w:rsidRDefault="00C33532" w:rsidP="00C33532">
      <w:pPr>
        <w:spacing w:after="0" w:line="240" w:lineRule="auto"/>
        <w:rPr>
          <w:rFonts w:ascii="Titillium Web" w:eastAsia="Times New Roman" w:hAnsi="Titillium Web" w:cstheme="minorHAnsi"/>
        </w:rPr>
      </w:pPr>
    </w:p>
    <w:p w:rsidR="00C33532" w:rsidRPr="000D5848" w:rsidRDefault="00706691" w:rsidP="00C33532">
      <w:p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The following checklist describes the documentation that will be required when completing the application online.</w:t>
      </w:r>
    </w:p>
    <w:p w:rsidR="00706691" w:rsidRPr="000D5848" w:rsidRDefault="00706691" w:rsidP="00C33532">
      <w:pPr>
        <w:spacing w:after="0" w:line="240" w:lineRule="auto"/>
        <w:rPr>
          <w:rFonts w:ascii="Titillium Web" w:eastAsia="Times New Roman" w:hAnsi="Titillium Web" w:cstheme="minorHAnsi"/>
        </w:rPr>
      </w:pPr>
    </w:p>
    <w:p w:rsidR="00706691" w:rsidRPr="000D5848" w:rsidRDefault="00706691" w:rsidP="00706691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Education objectives</w:t>
      </w:r>
    </w:p>
    <w:p w:rsidR="00706691" w:rsidRPr="000D5848" w:rsidRDefault="00706691" w:rsidP="00706691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Description of schedule and copy of calendar</w:t>
      </w:r>
    </w:p>
    <w:p w:rsidR="00706691" w:rsidRPr="000D5848" w:rsidRDefault="00706691" w:rsidP="00706691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Evidence of meeting required hours</w:t>
      </w:r>
    </w:p>
    <w:p w:rsidR="00706691" w:rsidRPr="000D5848" w:rsidRDefault="00706691" w:rsidP="00706691">
      <w:pPr>
        <w:pStyle w:val="ListParagraph"/>
        <w:numPr>
          <w:ilvl w:val="1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Elementary – 900 hours</w:t>
      </w:r>
    </w:p>
    <w:p w:rsidR="00706691" w:rsidRPr="000D5848" w:rsidRDefault="00706691" w:rsidP="00706691">
      <w:pPr>
        <w:pStyle w:val="ListParagraph"/>
        <w:numPr>
          <w:ilvl w:val="1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Middle/Jr. High – 1050 hours</w:t>
      </w:r>
    </w:p>
    <w:p w:rsidR="00706691" w:rsidRPr="000D5848" w:rsidRDefault="00706691" w:rsidP="00706691">
      <w:pPr>
        <w:pStyle w:val="ListParagraph"/>
        <w:numPr>
          <w:ilvl w:val="1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High School – 1100 hours</w:t>
      </w:r>
    </w:p>
    <w:p w:rsidR="00706691" w:rsidRPr="000D5848" w:rsidRDefault="00706691" w:rsidP="00706691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Method of evaluating how student learning has improved</w:t>
      </w:r>
    </w:p>
    <w:p w:rsidR="00706691" w:rsidRPr="000D5848" w:rsidRDefault="00706691" w:rsidP="00706691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 xml:space="preserve">Evidence that at least two advertised public meetings were held prior to submission </w:t>
      </w:r>
      <w:proofErr w:type="spellStart"/>
      <w:r w:rsidRPr="000D5848">
        <w:rPr>
          <w:rFonts w:ascii="Titillium Web" w:eastAsia="Times New Roman" w:hAnsi="Titillium Web" w:cstheme="minorHAnsi"/>
        </w:rPr>
        <w:t>fo</w:t>
      </w:r>
      <w:proofErr w:type="spellEnd"/>
      <w:r w:rsidRPr="000D5848">
        <w:rPr>
          <w:rFonts w:ascii="Titillium Web" w:eastAsia="Times New Roman" w:hAnsi="Titillium Web" w:cstheme="minorHAnsi"/>
        </w:rPr>
        <w:t xml:space="preserve"> the proposal</w:t>
      </w:r>
    </w:p>
    <w:p w:rsidR="00706691" w:rsidRPr="000D5848" w:rsidRDefault="00706691" w:rsidP="00A4202E">
      <w:pPr>
        <w:pStyle w:val="ListParagraph"/>
        <w:numPr>
          <w:ilvl w:val="0"/>
          <w:numId w:val="3"/>
        </w:numPr>
        <w:spacing w:after="0" w:line="240" w:lineRule="auto"/>
        <w:rPr>
          <w:rFonts w:ascii="Titillium Web" w:eastAsia="Times New Roman" w:hAnsi="Titillium Web" w:cstheme="minorHAnsi"/>
        </w:rPr>
      </w:pPr>
      <w:r w:rsidRPr="000D5848">
        <w:rPr>
          <w:rFonts w:ascii="Titillium Web" w:eastAsia="Times New Roman" w:hAnsi="Titillium Web" w:cstheme="minorHAnsi"/>
        </w:rPr>
        <w:t>Copy of public comment records</w:t>
      </w:r>
    </w:p>
    <w:p w:rsidR="00706691" w:rsidRPr="000D5848" w:rsidRDefault="00706691" w:rsidP="00C33532">
      <w:pPr>
        <w:spacing w:after="0" w:line="240" w:lineRule="auto"/>
        <w:rPr>
          <w:rFonts w:ascii="Titillium Web" w:eastAsia="Times New Roman" w:hAnsi="Titillium Web" w:cstheme="minorHAnsi"/>
        </w:rPr>
      </w:pPr>
    </w:p>
    <w:p w:rsidR="00C33532" w:rsidRPr="000D5848" w:rsidRDefault="00C33532" w:rsidP="00C33532">
      <w:pPr>
        <w:spacing w:after="0" w:line="240" w:lineRule="auto"/>
        <w:rPr>
          <w:rFonts w:ascii="Titillium Web" w:eastAsia="Times New Roman" w:hAnsi="Titillium Web" w:cstheme="minorHAnsi"/>
        </w:rPr>
      </w:pPr>
    </w:p>
    <w:p w:rsidR="00011E57" w:rsidRPr="009347D0" w:rsidRDefault="003B019C" w:rsidP="001410C9">
      <w:pPr>
        <w:spacing w:after="0" w:line="240" w:lineRule="auto"/>
        <w:rPr>
          <w:rFonts w:ascii="Titillium Web" w:eastAsia="Times New Roman" w:hAnsi="Titillium Web" w:cs="Times New Roman"/>
          <w:i/>
          <w:color w:val="A6A6A6" w:themeColor="background1" w:themeShade="A6"/>
        </w:rPr>
      </w:pPr>
      <w:r w:rsidRPr="009347D0">
        <w:rPr>
          <w:rFonts w:ascii="Titillium Web" w:eastAsia="Times New Roman" w:hAnsi="Titillium Web" w:cs="Times New Roman"/>
          <w:b/>
          <w:bCs/>
          <w:i/>
          <w:color w:val="A6A6A6" w:themeColor="background1" w:themeShade="A6"/>
          <w:u w:val="single"/>
        </w:rPr>
        <w:t>Important</w:t>
      </w:r>
      <w:r w:rsidR="00C33532" w:rsidRPr="009347D0">
        <w:rPr>
          <w:rFonts w:ascii="Titillium Web" w:eastAsia="Times New Roman" w:hAnsi="Titillium Web" w:cs="Times New Roman"/>
          <w:b/>
          <w:bCs/>
          <w:i/>
          <w:color w:val="A6A6A6" w:themeColor="background1" w:themeShade="A6"/>
          <w:u w:val="single"/>
        </w:rPr>
        <w:t xml:space="preserve"> Note</w:t>
      </w:r>
      <w:r w:rsidR="00C33532" w:rsidRPr="009347D0">
        <w:rPr>
          <w:rFonts w:ascii="Titillium Web" w:eastAsia="Times New Roman" w:hAnsi="Titillium Web" w:cs="Times New Roman"/>
          <w:b/>
          <w:bCs/>
          <w:i/>
          <w:color w:val="A6A6A6" w:themeColor="background1" w:themeShade="A6"/>
        </w:rPr>
        <w:t xml:space="preserve">: </w:t>
      </w:r>
      <w:r w:rsidR="00C33532" w:rsidRPr="009347D0">
        <w:rPr>
          <w:rFonts w:ascii="Titillium Web" w:eastAsia="Times New Roman" w:hAnsi="Titillium Web" w:cs="Times New Roman"/>
          <w:i/>
          <w:color w:val="A6A6A6" w:themeColor="background1" w:themeShade="A6"/>
        </w:rPr>
        <w:t>W.S. 21-2-304(b)(viii) gives the State Board of Education authority to approve alternative schedules for schools that request to have "fewer than 175 [contact] days in a school year" as long as the alternative schedule does not "[reduce] the pupil-teacher contact time defined by the state board."</w:t>
      </w:r>
      <w:r w:rsidR="00C33532" w:rsidRPr="009347D0">
        <w:rPr>
          <w:rFonts w:ascii="Titillium Web" w:eastAsia="Times New Roman" w:hAnsi="Titillium Web" w:cs="Times New Roman"/>
          <w:i/>
          <w:color w:val="A6A6A6" w:themeColor="background1" w:themeShade="A6"/>
          <w:shd w:val="clear" w:color="auto" w:fill="FFFFFF"/>
        </w:rPr>
        <w:t xml:space="preserve"> </w:t>
      </w:r>
      <w:r w:rsidR="00C33532" w:rsidRPr="009347D0">
        <w:rPr>
          <w:rFonts w:ascii="Titillium Web" w:eastAsia="Times New Roman" w:hAnsi="Titillium Web" w:cs="Times New Roman"/>
          <w:i/>
          <w:color w:val="A6A6A6" w:themeColor="background1" w:themeShade="A6"/>
        </w:rPr>
        <w:t xml:space="preserve">The minimum hours are </w:t>
      </w:r>
      <w:r w:rsidR="00C33532" w:rsidRPr="009347D0">
        <w:rPr>
          <w:rFonts w:ascii="Titillium Web" w:eastAsia="Times New Roman" w:hAnsi="Titillium Web" w:cs="Times New Roman"/>
          <w:i/>
          <w:iCs/>
          <w:color w:val="A6A6A6" w:themeColor="background1" w:themeShade="A6"/>
          <w:u w:val="single"/>
        </w:rPr>
        <w:t>only</w:t>
      </w:r>
      <w:r w:rsidR="00C33532" w:rsidRPr="009347D0">
        <w:rPr>
          <w:rFonts w:ascii="Titillium Web" w:eastAsia="Times New Roman" w:hAnsi="Titillium Web" w:cs="Times New Roman"/>
          <w:i/>
          <w:color w:val="A6A6A6" w:themeColor="background1" w:themeShade="A6"/>
        </w:rPr>
        <w:t xml:space="preserve"> intended to set the parameters for local school boards when determining the length of the school day or when requesting an alternative schedule. </w:t>
      </w:r>
      <w:r w:rsidR="00C33532" w:rsidRPr="009347D0">
        <w:rPr>
          <w:rFonts w:ascii="Titillium Web" w:eastAsia="Times New Roman" w:hAnsi="Titillium Web" w:cs="Times New Roman"/>
          <w:b/>
          <w:i/>
          <w:iCs/>
          <w:color w:val="A6A6A6" w:themeColor="background1" w:themeShade="A6"/>
        </w:rPr>
        <w:t>The required number of teacher-student contact days must be met in accordance with the district’s approved alternative schedule.</w:t>
      </w:r>
    </w:p>
    <w:sectPr w:rsidR="00011E57" w:rsidRPr="00934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97" w:rsidRDefault="00210597" w:rsidP="000D5848">
      <w:pPr>
        <w:spacing w:after="0" w:line="240" w:lineRule="auto"/>
      </w:pPr>
      <w:r>
        <w:separator/>
      </w:r>
    </w:p>
  </w:endnote>
  <w:endnote w:type="continuationSeparator" w:id="0">
    <w:p w:rsidR="00210597" w:rsidRDefault="00210597" w:rsidP="000D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5" w:rsidRDefault="00E91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5" w:rsidRDefault="00E91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5" w:rsidRDefault="00E9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97" w:rsidRDefault="00210597" w:rsidP="000D5848">
      <w:pPr>
        <w:spacing w:after="0" w:line="240" w:lineRule="auto"/>
      </w:pPr>
      <w:r>
        <w:separator/>
      </w:r>
    </w:p>
  </w:footnote>
  <w:footnote w:type="continuationSeparator" w:id="0">
    <w:p w:rsidR="00210597" w:rsidRDefault="00210597" w:rsidP="000D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5" w:rsidRDefault="00E91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8" w:rsidRDefault="000D5848" w:rsidP="000D5848">
    <w:pPr>
      <w:pStyle w:val="Header"/>
      <w:spacing w:after="840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333500" cy="512885"/>
          <wp:effectExtent l="0" t="0" r="0" b="1905"/>
          <wp:wrapNone/>
          <wp:docPr id="1" name="Picture 1" descr="Wyoming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E Horizontal no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1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5" w:rsidRDefault="00E91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841B6"/>
    <w:multiLevelType w:val="multilevel"/>
    <w:tmpl w:val="33E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0F89"/>
    <w:multiLevelType w:val="hybridMultilevel"/>
    <w:tmpl w:val="71E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16A31"/>
    <w:multiLevelType w:val="multilevel"/>
    <w:tmpl w:val="565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2"/>
    <w:rsid w:val="00011E57"/>
    <w:rsid w:val="000D5848"/>
    <w:rsid w:val="001410C9"/>
    <w:rsid w:val="00210597"/>
    <w:rsid w:val="003B019C"/>
    <w:rsid w:val="00541A89"/>
    <w:rsid w:val="00706691"/>
    <w:rsid w:val="009347D0"/>
    <w:rsid w:val="00936DC2"/>
    <w:rsid w:val="009F54B2"/>
    <w:rsid w:val="00C33532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CB706-B71F-468E-B946-543C1DC7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48"/>
  </w:style>
  <w:style w:type="paragraph" w:styleId="Footer">
    <w:name w:val="footer"/>
    <w:basedOn w:val="Normal"/>
    <w:link w:val="FooterChar"/>
    <w:uiPriority w:val="99"/>
    <w:unhideWhenUsed/>
    <w:rsid w:val="000D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wyoming.gov/blog/2018/11/29/alternative-schedule-reque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Marces</dc:creator>
  <cp:keywords/>
  <dc:description/>
  <cp:lastModifiedBy>Laurel Shelley-Reuss</cp:lastModifiedBy>
  <cp:revision>6</cp:revision>
  <dcterms:created xsi:type="dcterms:W3CDTF">2018-12-10T14:47:00Z</dcterms:created>
  <dcterms:modified xsi:type="dcterms:W3CDTF">2018-12-13T21:57:00Z</dcterms:modified>
</cp:coreProperties>
</file>