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79" w:rsidRDefault="009C52E8" w:rsidP="009C52E8">
      <w:pPr>
        <w:jc w:val="center"/>
        <w:rPr>
          <w:rFonts w:ascii="Georgia" w:hAnsi="Georgia"/>
        </w:rPr>
      </w:pPr>
      <w:r w:rsidRPr="009C52E8">
        <w:rPr>
          <w:rFonts w:ascii="Georgia" w:hAnsi="Georgia"/>
        </w:rPr>
        <w:t xml:space="preserve">ADDENDUM TO </w:t>
      </w:r>
    </w:p>
    <w:p w:rsidR="009C52E8" w:rsidRDefault="009C52E8" w:rsidP="009C52E8">
      <w:pPr>
        <w:jc w:val="center"/>
        <w:rPr>
          <w:rFonts w:ascii="Georgia" w:hAnsi="Georgia"/>
        </w:rPr>
      </w:pPr>
    </w:p>
    <w:p w:rsidR="009C52E8" w:rsidRPr="00A31562" w:rsidRDefault="009C52E8" w:rsidP="009C52E8">
      <w:pPr>
        <w:jc w:val="center"/>
        <w:rPr>
          <w:rFonts w:ascii="Georgia" w:hAnsi="Georgia"/>
          <w:b/>
        </w:rPr>
      </w:pPr>
      <w:r w:rsidRPr="00A31562">
        <w:rPr>
          <w:rFonts w:ascii="Georgia" w:hAnsi="Georgia"/>
          <w:b/>
        </w:rPr>
        <w:t xml:space="preserve">DATA PREPARATION FOR REPORTING THE RESULTS OF </w:t>
      </w:r>
    </w:p>
    <w:p w:rsidR="009C52E8" w:rsidRPr="00A31562" w:rsidRDefault="009C52E8" w:rsidP="009C52E8">
      <w:pPr>
        <w:jc w:val="center"/>
        <w:rPr>
          <w:rFonts w:ascii="Georgia" w:hAnsi="Georgia"/>
          <w:b/>
        </w:rPr>
      </w:pPr>
      <w:r w:rsidRPr="00A31562">
        <w:rPr>
          <w:rFonts w:ascii="Georgia" w:hAnsi="Georgia"/>
          <w:b/>
        </w:rPr>
        <w:t>THE WYOMING ACCOUNTABILITY IN EDUCATION (WAEA) 2012-13 PILOT</w:t>
      </w:r>
    </w:p>
    <w:p w:rsidR="009C52E8" w:rsidRDefault="009C52E8" w:rsidP="009C52E8">
      <w:pPr>
        <w:jc w:val="center"/>
        <w:rPr>
          <w:rFonts w:ascii="Georgia" w:hAnsi="Georgia"/>
        </w:rPr>
      </w:pPr>
    </w:p>
    <w:p w:rsidR="009C52E8" w:rsidRDefault="009C52E8" w:rsidP="009C52E8">
      <w:pPr>
        <w:jc w:val="center"/>
        <w:rPr>
          <w:rFonts w:ascii="Georgia" w:hAnsi="Georgia"/>
          <w:b/>
        </w:rPr>
      </w:pPr>
      <w:r w:rsidRPr="009C52E8">
        <w:rPr>
          <w:rFonts w:ascii="Georgia" w:hAnsi="Georgia"/>
          <w:b/>
        </w:rPr>
        <w:t>READINESS INDICATOR CORRECTION</w:t>
      </w:r>
    </w:p>
    <w:p w:rsidR="009C52E8" w:rsidRDefault="009C52E8" w:rsidP="009C52E8">
      <w:pPr>
        <w:jc w:val="center"/>
        <w:rPr>
          <w:rFonts w:ascii="Georgia" w:hAnsi="Georgia"/>
          <w:b/>
        </w:rPr>
      </w:pPr>
    </w:p>
    <w:p w:rsidR="009C52E8" w:rsidRDefault="009C52E8" w:rsidP="009C52E8">
      <w:pPr>
        <w:jc w:val="center"/>
        <w:rPr>
          <w:rFonts w:ascii="Georgia" w:hAnsi="Georgia"/>
        </w:rPr>
      </w:pPr>
      <w:r>
        <w:rPr>
          <w:rFonts w:ascii="Georgia" w:hAnsi="Georgia"/>
        </w:rPr>
        <w:t xml:space="preserve">Michael Flicek, </w:t>
      </w:r>
      <w:proofErr w:type="spellStart"/>
      <w:proofErr w:type="gramStart"/>
      <w:r>
        <w:rPr>
          <w:rFonts w:ascii="Georgia" w:hAnsi="Georgia"/>
        </w:rPr>
        <w:t>Ed.D</w:t>
      </w:r>
      <w:proofErr w:type="spellEnd"/>
      <w:r>
        <w:rPr>
          <w:rFonts w:ascii="Georgia" w:hAnsi="Georgia"/>
        </w:rPr>
        <w:t>.,</w:t>
      </w:r>
      <w:proofErr w:type="gramEnd"/>
      <w:r>
        <w:rPr>
          <w:rFonts w:ascii="Georgia" w:hAnsi="Georgia"/>
        </w:rPr>
        <w:t xml:space="preserve"> Education Consultant</w:t>
      </w:r>
    </w:p>
    <w:p w:rsidR="009C52E8" w:rsidRDefault="009C52E8" w:rsidP="009C52E8">
      <w:pPr>
        <w:jc w:val="center"/>
        <w:rPr>
          <w:rFonts w:ascii="Georgia" w:hAnsi="Georgia"/>
        </w:rPr>
      </w:pPr>
      <w:r>
        <w:rPr>
          <w:rFonts w:ascii="Georgia" w:hAnsi="Georgia"/>
        </w:rPr>
        <w:t>John Paul, Senior Software Developer</w:t>
      </w:r>
    </w:p>
    <w:p w:rsidR="009C52E8" w:rsidRDefault="009C52E8" w:rsidP="009C52E8">
      <w:pPr>
        <w:jc w:val="center"/>
        <w:rPr>
          <w:rFonts w:ascii="Georgia" w:hAnsi="Georgia"/>
        </w:rPr>
      </w:pPr>
      <w:r>
        <w:rPr>
          <w:rFonts w:ascii="Georgia" w:hAnsi="Georgia"/>
        </w:rPr>
        <w:t>Wyoming Department of Education (WDE)</w:t>
      </w:r>
    </w:p>
    <w:p w:rsidR="009C52E8" w:rsidRDefault="009C52E8" w:rsidP="009C52E8">
      <w:pPr>
        <w:jc w:val="center"/>
        <w:rPr>
          <w:rFonts w:ascii="Georgia" w:hAnsi="Georgia"/>
        </w:rPr>
      </w:pPr>
      <w:r>
        <w:rPr>
          <w:rFonts w:ascii="Georgia" w:hAnsi="Georgia"/>
        </w:rPr>
        <w:t>(October 10, 2013)</w:t>
      </w:r>
    </w:p>
    <w:p w:rsidR="009C52E8" w:rsidRDefault="009C52E8" w:rsidP="009C52E8">
      <w:pPr>
        <w:jc w:val="center"/>
        <w:rPr>
          <w:rFonts w:ascii="Georgia" w:hAnsi="Georgia"/>
          <w:b/>
        </w:rPr>
      </w:pPr>
    </w:p>
    <w:p w:rsidR="009C52E8" w:rsidRDefault="009C52E8" w:rsidP="009C52E8">
      <w:pPr>
        <w:rPr>
          <w:rFonts w:ascii="Georgia" w:hAnsi="Georgia"/>
        </w:rPr>
      </w:pPr>
      <w:r>
        <w:rPr>
          <w:rFonts w:ascii="Georgia" w:hAnsi="Georgia"/>
        </w:rPr>
        <w:t>While preparing School Performance Reports that will inform schools about their performance on the 2012-13 pilot implementation of Wyoming School Accountability we determined that some students were counted as both “noncompleters” and as “continued enrollment” students</w:t>
      </w:r>
      <w:r w:rsidR="003B6A7D">
        <w:rPr>
          <w:rFonts w:ascii="Georgia" w:hAnsi="Georgia"/>
        </w:rPr>
        <w:t xml:space="preserve"> for the graduation index subindicator of the high school readiness indicator</w:t>
      </w:r>
      <w:r>
        <w:rPr>
          <w:rFonts w:ascii="Georgia" w:hAnsi="Georgia"/>
        </w:rPr>
        <w:t>. In all cases these students should have been counted only as “continued enrollment” students and not as “noncompleters”.</w:t>
      </w:r>
      <w:r w:rsidR="009F5327">
        <w:rPr>
          <w:rFonts w:ascii="Georgia" w:hAnsi="Georgia"/>
        </w:rPr>
        <w:t xml:space="preserve"> We correct</w:t>
      </w:r>
      <w:r w:rsidR="00783F80">
        <w:rPr>
          <w:rFonts w:ascii="Georgia" w:hAnsi="Georgia"/>
        </w:rPr>
        <w:t xml:space="preserve">ed the data so that these students were counted only once, as “continued enrollment” students. </w:t>
      </w:r>
      <w:r w:rsidR="009F5327">
        <w:rPr>
          <w:rFonts w:ascii="Georgia" w:hAnsi="Georgia"/>
        </w:rPr>
        <w:t xml:space="preserve">We then applied the PJP established cut scores to the corrected data and small changed resulted in the number of schools that were exceeding targets, meeting targets, and not meeting targets.  Prior to the </w:t>
      </w:r>
      <w:r w:rsidR="003B6A7D">
        <w:rPr>
          <w:rFonts w:ascii="Georgia" w:hAnsi="Georgia"/>
        </w:rPr>
        <w:t>correction</w:t>
      </w:r>
      <w:r w:rsidR="009F5327">
        <w:rPr>
          <w:rFonts w:ascii="Georgia" w:hAnsi="Georgia"/>
        </w:rPr>
        <w:t xml:space="preserve"> 13 schools were exceeding meeting targets, 39 schools were meeting targets, and 28 schools were not meeting targets. After the correction, and using the PJP determined cut-scores, 17 students were exceeding targets, 38 schools were meeting targets, and 25 schools were below targets. </w:t>
      </w:r>
      <w:r w:rsidR="00D41E07">
        <w:rPr>
          <w:rFonts w:ascii="Georgia" w:hAnsi="Georgia"/>
        </w:rPr>
        <w:t>This change in impact was</w:t>
      </w:r>
      <w:r w:rsidR="005C4A28">
        <w:rPr>
          <w:rFonts w:ascii="Georgia" w:hAnsi="Georgia"/>
        </w:rPr>
        <w:t xml:space="preserve"> not particularly </w:t>
      </w:r>
      <w:proofErr w:type="gramStart"/>
      <w:r w:rsidR="005C4A28">
        <w:rPr>
          <w:rFonts w:ascii="Georgia" w:hAnsi="Georgia"/>
        </w:rPr>
        <w:t>large,</w:t>
      </w:r>
      <w:proofErr w:type="gramEnd"/>
      <w:r w:rsidR="005C4A28">
        <w:rPr>
          <w:rFonts w:ascii="Georgia" w:hAnsi="Georgia"/>
        </w:rPr>
        <w:t xml:space="preserve"> nevertheless</w:t>
      </w:r>
      <w:r w:rsidR="00D41E07">
        <w:rPr>
          <w:rFonts w:ascii="Georgia" w:hAnsi="Georgia"/>
        </w:rPr>
        <w:t xml:space="preserve">, in the interest of establishing impact with the corrected data that was similar to the impact </w:t>
      </w:r>
      <w:r w:rsidR="005C4A28">
        <w:rPr>
          <w:rFonts w:ascii="Georgia" w:hAnsi="Georgia"/>
        </w:rPr>
        <w:t>presented</w:t>
      </w:r>
      <w:r w:rsidR="00D41E07">
        <w:rPr>
          <w:rFonts w:ascii="Georgia" w:hAnsi="Georgia"/>
        </w:rPr>
        <w:t xml:space="preserve"> during the PJP session, </w:t>
      </w:r>
      <w:proofErr w:type="spellStart"/>
      <w:r w:rsidR="00D41E07">
        <w:rPr>
          <w:rFonts w:ascii="Georgia" w:hAnsi="Georgia"/>
        </w:rPr>
        <w:t>equipercentile</w:t>
      </w:r>
      <w:proofErr w:type="spellEnd"/>
      <w:r w:rsidR="00D41E07">
        <w:rPr>
          <w:rFonts w:ascii="Georgia" w:hAnsi="Georgia"/>
        </w:rPr>
        <w:t xml:space="preserve"> linking was explored as an option for achieving comparable impact with the corrected data. </w:t>
      </w:r>
    </w:p>
    <w:p w:rsidR="009F5327" w:rsidRDefault="009F5327" w:rsidP="009C52E8">
      <w:pPr>
        <w:rPr>
          <w:rFonts w:ascii="Georgia" w:hAnsi="Georgia"/>
        </w:rPr>
      </w:pPr>
    </w:p>
    <w:p w:rsidR="009F5327" w:rsidRDefault="00D41E07" w:rsidP="009F5327">
      <w:pPr>
        <w:rPr>
          <w:rFonts w:ascii="Georgia" w:hAnsi="Georgia"/>
        </w:rPr>
      </w:pPr>
      <w:r>
        <w:rPr>
          <w:rFonts w:ascii="Georgia" w:hAnsi="Georgia"/>
        </w:rPr>
        <w:t>The</w:t>
      </w:r>
      <w:r w:rsidR="009F5327">
        <w:rPr>
          <w:rFonts w:ascii="Georgia" w:hAnsi="Georgia"/>
        </w:rPr>
        <w:t xml:space="preserve"> PJP established school performance level cut-scores for the high school </w:t>
      </w:r>
      <w:r w:rsidR="005C4A28">
        <w:rPr>
          <w:rFonts w:ascii="Georgia" w:hAnsi="Georgia"/>
        </w:rPr>
        <w:t xml:space="preserve">readiness </w:t>
      </w:r>
      <w:r w:rsidR="009F5327">
        <w:rPr>
          <w:rFonts w:ascii="Georgia" w:hAnsi="Georgia"/>
        </w:rPr>
        <w:t>indicator of 68 and 80. For the sample of 80 high schools</w:t>
      </w:r>
      <w:r w:rsidR="009F5327">
        <w:rPr>
          <w:rStyle w:val="FootnoteReference"/>
          <w:rFonts w:ascii="Georgia" w:hAnsi="Georgia"/>
        </w:rPr>
        <w:footnoteReference w:id="1"/>
      </w:r>
      <w:r>
        <w:rPr>
          <w:rFonts w:ascii="Georgia" w:hAnsi="Georgia"/>
        </w:rPr>
        <w:t xml:space="preserve"> a score of 68</w:t>
      </w:r>
      <w:r w:rsidR="009F5327">
        <w:rPr>
          <w:rFonts w:ascii="Georgia" w:hAnsi="Georgia"/>
        </w:rPr>
        <w:t xml:space="preserve"> was equivalent to a percentile rank</w:t>
      </w:r>
      <w:r>
        <w:rPr>
          <w:rFonts w:ascii="Georgia" w:hAnsi="Georgia"/>
        </w:rPr>
        <w:t xml:space="preserve"> of 35 and a score of 80</w:t>
      </w:r>
      <w:r w:rsidR="009F5327">
        <w:rPr>
          <w:rFonts w:ascii="Georgia" w:hAnsi="Georgia"/>
        </w:rPr>
        <w:t xml:space="preserve"> was equiv</w:t>
      </w:r>
      <w:r>
        <w:rPr>
          <w:rFonts w:ascii="Georgia" w:hAnsi="Georgia"/>
        </w:rPr>
        <w:t>alent to a percentile rank of 84</w:t>
      </w:r>
      <w:r w:rsidR="009F5327">
        <w:rPr>
          <w:rFonts w:ascii="Georgia" w:hAnsi="Georgia"/>
        </w:rPr>
        <w:t xml:space="preserve"> using the original ACT </w:t>
      </w:r>
      <w:r w:rsidR="005C4A28">
        <w:rPr>
          <w:rFonts w:ascii="Georgia" w:hAnsi="Georgia"/>
        </w:rPr>
        <w:t>readiness</w:t>
      </w:r>
      <w:r w:rsidR="009F5327">
        <w:rPr>
          <w:rFonts w:ascii="Georgia" w:hAnsi="Georgia"/>
        </w:rPr>
        <w:t xml:space="preserve"> cut scores. </w:t>
      </w:r>
    </w:p>
    <w:p w:rsidR="009F5327" w:rsidRDefault="009F5327" w:rsidP="009F5327">
      <w:pPr>
        <w:rPr>
          <w:rFonts w:ascii="Georgia" w:hAnsi="Georgia"/>
        </w:rPr>
      </w:pPr>
    </w:p>
    <w:p w:rsidR="009F5327" w:rsidRDefault="009F5327" w:rsidP="009F5327">
      <w:pPr>
        <w:rPr>
          <w:rFonts w:ascii="Georgia" w:hAnsi="Georgia"/>
        </w:rPr>
      </w:pPr>
      <w:r>
        <w:rPr>
          <w:rFonts w:ascii="Georgia" w:hAnsi="Georgia"/>
        </w:rPr>
        <w:t xml:space="preserve">Using the </w:t>
      </w:r>
      <w:r w:rsidR="00D41E07">
        <w:rPr>
          <w:rFonts w:ascii="Georgia" w:hAnsi="Georgia"/>
        </w:rPr>
        <w:t>corrected graduation index data</w:t>
      </w:r>
      <w:r>
        <w:rPr>
          <w:rFonts w:ascii="Georgia" w:hAnsi="Georgia"/>
        </w:rPr>
        <w:t xml:space="preserve">, the school </w:t>
      </w:r>
      <w:r w:rsidR="00D41E07">
        <w:rPr>
          <w:rFonts w:ascii="Georgia" w:hAnsi="Georgia"/>
        </w:rPr>
        <w:t>readiness</w:t>
      </w:r>
      <w:r>
        <w:rPr>
          <w:rFonts w:ascii="Georgia" w:hAnsi="Georgia"/>
        </w:rPr>
        <w:t xml:space="preserve"> score that was at the </w:t>
      </w:r>
      <w:r w:rsidR="00D41E07">
        <w:rPr>
          <w:rFonts w:ascii="Georgia" w:hAnsi="Georgia"/>
        </w:rPr>
        <w:t>35</w:t>
      </w:r>
      <w:r w:rsidRPr="00105904">
        <w:rPr>
          <w:rFonts w:ascii="Georgia" w:hAnsi="Georgia"/>
          <w:vertAlign w:val="superscript"/>
        </w:rPr>
        <w:t>th</w:t>
      </w:r>
      <w:r w:rsidR="00D41E07">
        <w:rPr>
          <w:rFonts w:ascii="Georgia" w:hAnsi="Georgia"/>
        </w:rPr>
        <w:t xml:space="preserve"> percentile rank was 71</w:t>
      </w:r>
      <w:r>
        <w:rPr>
          <w:rFonts w:ascii="Georgia" w:hAnsi="Georgia"/>
        </w:rPr>
        <w:t xml:space="preserve"> and the score that was at the 8</w:t>
      </w:r>
      <w:r w:rsidR="00D41E07">
        <w:rPr>
          <w:rFonts w:ascii="Georgia" w:hAnsi="Georgia"/>
        </w:rPr>
        <w:t>4</w:t>
      </w:r>
      <w:r w:rsidR="00D41E07">
        <w:rPr>
          <w:rFonts w:ascii="Georgia" w:hAnsi="Georgia"/>
          <w:vertAlign w:val="superscript"/>
        </w:rPr>
        <w:t>th</w:t>
      </w:r>
      <w:r w:rsidR="00D41E07">
        <w:rPr>
          <w:rFonts w:ascii="Georgia" w:hAnsi="Georgia"/>
        </w:rPr>
        <w:t xml:space="preserve"> percentile rank was 81</w:t>
      </w:r>
      <w:r>
        <w:rPr>
          <w:rFonts w:ascii="Georgia" w:hAnsi="Georgia"/>
        </w:rPr>
        <w:t xml:space="preserve">. As such </w:t>
      </w:r>
      <w:r w:rsidRPr="00D67A1E">
        <w:rPr>
          <w:rFonts w:ascii="Georgia" w:hAnsi="Georgia"/>
          <w:b/>
          <w:u w:val="single"/>
        </w:rPr>
        <w:t>the</w:t>
      </w:r>
      <w:r>
        <w:rPr>
          <w:rFonts w:ascii="Georgia" w:hAnsi="Georgia"/>
          <w:b/>
          <w:u w:val="single"/>
        </w:rPr>
        <w:t xml:space="preserve"> WAEA pilot corrected</w:t>
      </w:r>
      <w:r w:rsidRPr="00D67A1E">
        <w:rPr>
          <w:rFonts w:ascii="Georgia" w:hAnsi="Georgia"/>
          <w:b/>
          <w:u w:val="single"/>
        </w:rPr>
        <w:t xml:space="preserve"> cut-scores used for </w:t>
      </w:r>
      <w:r>
        <w:rPr>
          <w:rFonts w:ascii="Georgia" w:hAnsi="Georgia"/>
          <w:b/>
          <w:u w:val="single"/>
        </w:rPr>
        <w:t xml:space="preserve">the </w:t>
      </w:r>
      <w:r w:rsidRPr="00D67A1E">
        <w:rPr>
          <w:rFonts w:ascii="Georgia" w:hAnsi="Georgia"/>
          <w:b/>
          <w:u w:val="single"/>
        </w:rPr>
        <w:t xml:space="preserve">high school </w:t>
      </w:r>
      <w:r w:rsidR="00D41E07">
        <w:rPr>
          <w:rFonts w:ascii="Georgia" w:hAnsi="Georgia"/>
          <w:b/>
          <w:u w:val="single"/>
        </w:rPr>
        <w:t>readiness</w:t>
      </w:r>
      <w:r w:rsidRPr="00D67A1E">
        <w:rPr>
          <w:rFonts w:ascii="Georgia" w:hAnsi="Georgia"/>
          <w:b/>
          <w:u w:val="single"/>
        </w:rPr>
        <w:t xml:space="preserve"> </w:t>
      </w:r>
      <w:r>
        <w:rPr>
          <w:rFonts w:ascii="Georgia" w:hAnsi="Georgia"/>
          <w:b/>
          <w:u w:val="single"/>
        </w:rPr>
        <w:t xml:space="preserve">indicator </w:t>
      </w:r>
      <w:r w:rsidR="00D41E07">
        <w:rPr>
          <w:rFonts w:ascii="Georgia" w:hAnsi="Georgia"/>
          <w:b/>
          <w:u w:val="single"/>
        </w:rPr>
        <w:t>were 71</w:t>
      </w:r>
      <w:r w:rsidRPr="00D67A1E">
        <w:rPr>
          <w:rFonts w:ascii="Georgia" w:hAnsi="Georgia"/>
          <w:b/>
          <w:u w:val="single"/>
        </w:rPr>
        <w:t xml:space="preserve"> and </w:t>
      </w:r>
      <w:r w:rsidR="00D41E07">
        <w:rPr>
          <w:rFonts w:ascii="Georgia" w:hAnsi="Georgia"/>
          <w:b/>
          <w:u w:val="single"/>
        </w:rPr>
        <w:t>81</w:t>
      </w:r>
      <w:r>
        <w:rPr>
          <w:rFonts w:ascii="Georgia" w:hAnsi="Georgia"/>
        </w:rPr>
        <w:t xml:space="preserve">.  </w:t>
      </w:r>
    </w:p>
    <w:p w:rsidR="009F5327" w:rsidRDefault="009F5327" w:rsidP="009F5327">
      <w:pPr>
        <w:rPr>
          <w:rFonts w:ascii="Georgia" w:hAnsi="Georgia"/>
        </w:rPr>
      </w:pPr>
    </w:p>
    <w:p w:rsidR="009F5327" w:rsidRPr="009C52E8" w:rsidRDefault="009F5327" w:rsidP="009C52E8">
      <w:pPr>
        <w:rPr>
          <w:rFonts w:ascii="Georgia" w:hAnsi="Georgia"/>
        </w:rPr>
      </w:pPr>
      <w:r>
        <w:rPr>
          <w:rFonts w:ascii="Georgia" w:hAnsi="Georgia"/>
          <w:b/>
          <w:u w:val="single"/>
        </w:rPr>
        <w:t>These corrected</w:t>
      </w:r>
      <w:r w:rsidRPr="00D67A1E">
        <w:rPr>
          <w:rFonts w:ascii="Georgia" w:hAnsi="Georgia"/>
          <w:b/>
          <w:u w:val="single"/>
        </w:rPr>
        <w:t xml:space="preserve"> cut-scores accurately reflect the work of the PJP in that they are at the same percentile rank points as those set by the PJP</w:t>
      </w:r>
      <w:r>
        <w:rPr>
          <w:rFonts w:ascii="Georgia" w:hAnsi="Georgia"/>
        </w:rPr>
        <w:t xml:space="preserve">. </w:t>
      </w:r>
      <w:r w:rsidRPr="00D67A1E">
        <w:rPr>
          <w:rFonts w:ascii="Georgia" w:hAnsi="Georgia"/>
          <w:b/>
          <w:u w:val="single"/>
        </w:rPr>
        <w:t xml:space="preserve">These cut-scores </w:t>
      </w:r>
      <w:r w:rsidR="00D41E07">
        <w:rPr>
          <w:rFonts w:ascii="Georgia" w:hAnsi="Georgia"/>
          <w:b/>
          <w:u w:val="single"/>
        </w:rPr>
        <w:t xml:space="preserve">furthermore had </w:t>
      </w:r>
      <w:proofErr w:type="gramStart"/>
      <w:r w:rsidR="00D41E07">
        <w:rPr>
          <w:rFonts w:ascii="Georgia" w:hAnsi="Georgia"/>
          <w:b/>
          <w:u w:val="single"/>
        </w:rPr>
        <w:t>an</w:t>
      </w:r>
      <w:proofErr w:type="gramEnd"/>
      <w:r w:rsidR="00D41E07">
        <w:rPr>
          <w:rFonts w:ascii="Georgia" w:hAnsi="Georgia"/>
          <w:b/>
          <w:u w:val="single"/>
        </w:rPr>
        <w:t xml:space="preserve"> similar</w:t>
      </w:r>
      <w:r w:rsidRPr="00D67A1E">
        <w:rPr>
          <w:rFonts w:ascii="Georgia" w:hAnsi="Georgia"/>
          <w:b/>
          <w:u w:val="single"/>
        </w:rPr>
        <w:t xml:space="preserve"> impact in terms of the number of schools in each</w:t>
      </w:r>
      <w:r>
        <w:rPr>
          <w:rFonts w:ascii="Georgia" w:hAnsi="Georgia"/>
          <w:b/>
          <w:u w:val="single"/>
        </w:rPr>
        <w:t xml:space="preserve"> </w:t>
      </w:r>
      <w:r w:rsidR="00D41E07">
        <w:rPr>
          <w:rFonts w:ascii="Georgia" w:hAnsi="Georgia"/>
          <w:b/>
          <w:u w:val="single"/>
        </w:rPr>
        <w:t xml:space="preserve">readiness </w:t>
      </w:r>
      <w:r>
        <w:rPr>
          <w:rFonts w:ascii="Georgia" w:hAnsi="Georgia"/>
          <w:b/>
          <w:u w:val="single"/>
        </w:rPr>
        <w:t>indicator</w:t>
      </w:r>
      <w:r w:rsidRPr="00D67A1E">
        <w:rPr>
          <w:rFonts w:ascii="Georgia" w:hAnsi="Georgia"/>
          <w:b/>
          <w:u w:val="single"/>
        </w:rPr>
        <w:t xml:space="preserve"> category</w:t>
      </w:r>
      <w:r>
        <w:rPr>
          <w:rFonts w:ascii="Georgia" w:hAnsi="Georgia"/>
        </w:rPr>
        <w:t>. Using the</w:t>
      </w:r>
      <w:r w:rsidR="00D41E07">
        <w:rPr>
          <w:rFonts w:ascii="Georgia" w:hAnsi="Georgia"/>
        </w:rPr>
        <w:t xml:space="preserve"> readiness indicator score based on the</w:t>
      </w:r>
      <w:r>
        <w:rPr>
          <w:rFonts w:ascii="Georgia" w:hAnsi="Georgia"/>
        </w:rPr>
        <w:t xml:space="preserve"> original </w:t>
      </w:r>
      <w:r w:rsidR="00D41E07">
        <w:rPr>
          <w:rFonts w:ascii="Georgia" w:hAnsi="Georgia"/>
        </w:rPr>
        <w:t>graduation index data</w:t>
      </w:r>
      <w:r>
        <w:rPr>
          <w:rFonts w:ascii="Georgia" w:hAnsi="Georgia"/>
        </w:rPr>
        <w:t>, the impact of the PJP defined cut-s</w:t>
      </w:r>
      <w:r w:rsidR="00D41E07">
        <w:rPr>
          <w:rFonts w:ascii="Georgia" w:hAnsi="Georgia"/>
        </w:rPr>
        <w:t>cores for schools resulted in 28</w:t>
      </w:r>
      <w:r>
        <w:rPr>
          <w:rFonts w:ascii="Georgia" w:hAnsi="Georgia"/>
        </w:rPr>
        <w:t xml:space="preserve"> scho</w:t>
      </w:r>
      <w:r w:rsidR="00D41E07">
        <w:rPr>
          <w:rFonts w:ascii="Georgia" w:hAnsi="Georgia"/>
        </w:rPr>
        <w:t>ols not meeting targets, 39 schools meeting targets, and 13</w:t>
      </w:r>
      <w:r>
        <w:rPr>
          <w:rFonts w:ascii="Georgia" w:hAnsi="Georgia"/>
        </w:rPr>
        <w:t xml:space="preserve"> schools exceeding targets. Using the </w:t>
      </w:r>
      <w:r w:rsidR="00D41E07">
        <w:rPr>
          <w:rFonts w:ascii="Georgia" w:hAnsi="Georgia"/>
        </w:rPr>
        <w:t>readiness scores with the corrected graduation index data and</w:t>
      </w:r>
      <w:r>
        <w:rPr>
          <w:rFonts w:ascii="Georgia" w:hAnsi="Georgia"/>
        </w:rPr>
        <w:t xml:space="preserve"> the corrected </w:t>
      </w:r>
      <w:r w:rsidR="002D63BE">
        <w:rPr>
          <w:rFonts w:ascii="Georgia" w:hAnsi="Georgia"/>
        </w:rPr>
        <w:t>readiness indicator</w:t>
      </w:r>
      <w:r>
        <w:rPr>
          <w:rFonts w:ascii="Georgia" w:hAnsi="Georgia"/>
        </w:rPr>
        <w:t xml:space="preserve"> cut-scores for schools </w:t>
      </w:r>
      <w:r w:rsidR="002D63BE">
        <w:rPr>
          <w:rFonts w:ascii="Georgia" w:hAnsi="Georgia"/>
        </w:rPr>
        <w:t>resulted in 28</w:t>
      </w:r>
      <w:r>
        <w:rPr>
          <w:rFonts w:ascii="Georgia" w:hAnsi="Georgia"/>
        </w:rPr>
        <w:t xml:space="preserve"> schools not </w:t>
      </w:r>
      <w:r w:rsidR="002D63BE">
        <w:rPr>
          <w:rFonts w:ascii="Georgia" w:hAnsi="Georgia"/>
        </w:rPr>
        <w:t>meeting targets, 38 schools meeting targets, and 14</w:t>
      </w:r>
      <w:r>
        <w:rPr>
          <w:rFonts w:ascii="Georgia" w:hAnsi="Georgia"/>
        </w:rPr>
        <w:t xml:space="preserve"> schools exceeding targets.</w:t>
      </w:r>
      <w:r w:rsidR="002D63BE">
        <w:rPr>
          <w:rFonts w:ascii="Georgia" w:hAnsi="Georgia"/>
        </w:rPr>
        <w:t xml:space="preserve"> As such, this correction resulted in one additional school in the exceeding expectations category and one fewer school in the meeting expectations category. </w:t>
      </w:r>
      <w:r>
        <w:rPr>
          <w:rFonts w:ascii="Georgia" w:hAnsi="Georgia"/>
        </w:rPr>
        <w:t xml:space="preserve"> </w:t>
      </w:r>
    </w:p>
    <w:sectPr w:rsidR="009F5327" w:rsidRPr="009C52E8" w:rsidSect="002820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CBD" w:rsidRDefault="004A2CBD" w:rsidP="009F5327">
      <w:r>
        <w:separator/>
      </w:r>
    </w:p>
  </w:endnote>
  <w:endnote w:type="continuationSeparator" w:id="0">
    <w:p w:rsidR="004A2CBD" w:rsidRDefault="004A2CBD" w:rsidP="009F53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CBD" w:rsidRDefault="004A2CBD" w:rsidP="009F5327">
      <w:r>
        <w:separator/>
      </w:r>
    </w:p>
  </w:footnote>
  <w:footnote w:type="continuationSeparator" w:id="0">
    <w:p w:rsidR="004A2CBD" w:rsidRDefault="004A2CBD" w:rsidP="009F5327">
      <w:r>
        <w:continuationSeparator/>
      </w:r>
    </w:p>
  </w:footnote>
  <w:footnote w:id="1">
    <w:p w:rsidR="009F5327" w:rsidRPr="00B364A7" w:rsidRDefault="009F5327" w:rsidP="009F5327">
      <w:pPr>
        <w:pStyle w:val="FootnoteText"/>
        <w:rPr>
          <w:rFonts w:ascii="Georgia" w:hAnsi="Georgia"/>
        </w:rPr>
      </w:pPr>
      <w:r w:rsidRPr="00B364A7">
        <w:rPr>
          <w:rStyle w:val="FootnoteReference"/>
          <w:rFonts w:ascii="Georgia" w:hAnsi="Georgia"/>
        </w:rPr>
        <w:footnoteRef/>
      </w:r>
      <w:r w:rsidRPr="00B364A7">
        <w:rPr>
          <w:rFonts w:ascii="Georgia" w:hAnsi="Georgia"/>
        </w:rPr>
        <w:t xml:space="preserve"> </w:t>
      </w:r>
      <w:proofErr w:type="gramStart"/>
      <w:r w:rsidRPr="00B364A7">
        <w:rPr>
          <w:rFonts w:ascii="Georgia" w:hAnsi="Georgia"/>
        </w:rPr>
        <w:t>Schools</w:t>
      </w:r>
      <w:r w:rsidR="00D41E07">
        <w:rPr>
          <w:rFonts w:ascii="Georgia" w:hAnsi="Georgia"/>
        </w:rPr>
        <w:t xml:space="preserve"> with a minimum n of at least 6.</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391"/>
    <w:multiLevelType w:val="multilevel"/>
    <w:tmpl w:val="281C35FE"/>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5619CC"/>
    <w:multiLevelType w:val="multilevel"/>
    <w:tmpl w:val="0409001D"/>
    <w:styleLink w:val="Style10"/>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C52E8"/>
    <w:rsid w:val="000164B0"/>
    <w:rsid w:val="000A5ACB"/>
    <w:rsid w:val="00115BC5"/>
    <w:rsid w:val="00282079"/>
    <w:rsid w:val="002D63BE"/>
    <w:rsid w:val="003B6A7D"/>
    <w:rsid w:val="00422C3D"/>
    <w:rsid w:val="004645E5"/>
    <w:rsid w:val="004A2CBD"/>
    <w:rsid w:val="005C4A28"/>
    <w:rsid w:val="006B7A19"/>
    <w:rsid w:val="006D33FA"/>
    <w:rsid w:val="00783F80"/>
    <w:rsid w:val="008B633A"/>
    <w:rsid w:val="009C52E8"/>
    <w:rsid w:val="009F5327"/>
    <w:rsid w:val="00D41E07"/>
    <w:rsid w:val="00F00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3D"/>
  </w:style>
  <w:style w:type="paragraph" w:styleId="Heading1">
    <w:name w:val="heading 1"/>
    <w:basedOn w:val="Normal"/>
    <w:next w:val="Normal"/>
    <w:link w:val="Heading1Char"/>
    <w:uiPriority w:val="9"/>
    <w:qFormat/>
    <w:rsid w:val="00422C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2C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2C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2C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2C3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2C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2C3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2C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22C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C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2C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2C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22C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22C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22C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22C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22C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22C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22C3D"/>
    <w:rPr>
      <w:b/>
      <w:bCs/>
      <w:color w:val="4F81BD" w:themeColor="accent1"/>
      <w:sz w:val="18"/>
      <w:szCs w:val="18"/>
    </w:rPr>
  </w:style>
  <w:style w:type="paragraph" w:styleId="Title">
    <w:name w:val="Title"/>
    <w:basedOn w:val="Normal"/>
    <w:next w:val="Normal"/>
    <w:link w:val="TitleChar"/>
    <w:uiPriority w:val="10"/>
    <w:qFormat/>
    <w:rsid w:val="00422C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2C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2C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2C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22C3D"/>
    <w:rPr>
      <w:b/>
      <w:bCs/>
    </w:rPr>
  </w:style>
  <w:style w:type="character" w:styleId="Emphasis">
    <w:name w:val="Emphasis"/>
    <w:basedOn w:val="DefaultParagraphFont"/>
    <w:uiPriority w:val="20"/>
    <w:qFormat/>
    <w:rsid w:val="00422C3D"/>
    <w:rPr>
      <w:i/>
      <w:iCs/>
    </w:rPr>
  </w:style>
  <w:style w:type="paragraph" w:styleId="NoSpacing">
    <w:name w:val="No Spacing"/>
    <w:uiPriority w:val="1"/>
    <w:qFormat/>
    <w:rsid w:val="00422C3D"/>
  </w:style>
  <w:style w:type="paragraph" w:styleId="ListParagraph">
    <w:name w:val="List Paragraph"/>
    <w:basedOn w:val="Normal"/>
    <w:uiPriority w:val="34"/>
    <w:qFormat/>
    <w:rsid w:val="00422C3D"/>
    <w:pPr>
      <w:ind w:left="720"/>
      <w:contextualSpacing/>
    </w:pPr>
  </w:style>
  <w:style w:type="paragraph" w:styleId="Quote">
    <w:name w:val="Quote"/>
    <w:basedOn w:val="Normal"/>
    <w:next w:val="Normal"/>
    <w:link w:val="QuoteChar"/>
    <w:uiPriority w:val="29"/>
    <w:qFormat/>
    <w:rsid w:val="00422C3D"/>
    <w:rPr>
      <w:i/>
      <w:iCs/>
      <w:color w:val="000000" w:themeColor="text1"/>
    </w:rPr>
  </w:style>
  <w:style w:type="character" w:customStyle="1" w:styleId="QuoteChar">
    <w:name w:val="Quote Char"/>
    <w:basedOn w:val="DefaultParagraphFont"/>
    <w:link w:val="Quote"/>
    <w:uiPriority w:val="29"/>
    <w:rsid w:val="00422C3D"/>
    <w:rPr>
      <w:i/>
      <w:iCs/>
      <w:color w:val="000000" w:themeColor="text1"/>
    </w:rPr>
  </w:style>
  <w:style w:type="paragraph" w:styleId="IntenseQuote">
    <w:name w:val="Intense Quote"/>
    <w:basedOn w:val="Normal"/>
    <w:next w:val="Normal"/>
    <w:link w:val="IntenseQuoteChar"/>
    <w:uiPriority w:val="30"/>
    <w:qFormat/>
    <w:rsid w:val="00422C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2C3D"/>
    <w:rPr>
      <w:b/>
      <w:bCs/>
      <w:i/>
      <w:iCs/>
      <w:color w:val="4F81BD" w:themeColor="accent1"/>
    </w:rPr>
  </w:style>
  <w:style w:type="character" w:styleId="SubtleEmphasis">
    <w:name w:val="Subtle Emphasis"/>
    <w:basedOn w:val="DefaultParagraphFont"/>
    <w:uiPriority w:val="19"/>
    <w:qFormat/>
    <w:rsid w:val="00422C3D"/>
    <w:rPr>
      <w:i/>
      <w:iCs/>
      <w:color w:val="808080" w:themeColor="text1" w:themeTint="7F"/>
    </w:rPr>
  </w:style>
  <w:style w:type="character" w:styleId="IntenseEmphasis">
    <w:name w:val="Intense Emphasis"/>
    <w:basedOn w:val="DefaultParagraphFont"/>
    <w:uiPriority w:val="21"/>
    <w:qFormat/>
    <w:rsid w:val="00422C3D"/>
    <w:rPr>
      <w:b/>
      <w:bCs/>
      <w:i/>
      <w:iCs/>
      <w:color w:val="4F81BD" w:themeColor="accent1"/>
    </w:rPr>
  </w:style>
  <w:style w:type="character" w:styleId="SubtleReference">
    <w:name w:val="Subtle Reference"/>
    <w:basedOn w:val="DefaultParagraphFont"/>
    <w:uiPriority w:val="31"/>
    <w:qFormat/>
    <w:rsid w:val="00422C3D"/>
    <w:rPr>
      <w:smallCaps/>
      <w:color w:val="C0504D" w:themeColor="accent2"/>
      <w:u w:val="single"/>
    </w:rPr>
  </w:style>
  <w:style w:type="character" w:styleId="IntenseReference">
    <w:name w:val="Intense Reference"/>
    <w:basedOn w:val="DefaultParagraphFont"/>
    <w:uiPriority w:val="32"/>
    <w:qFormat/>
    <w:rsid w:val="00422C3D"/>
    <w:rPr>
      <w:b/>
      <w:bCs/>
      <w:smallCaps/>
      <w:color w:val="C0504D" w:themeColor="accent2"/>
      <w:spacing w:val="5"/>
      <w:u w:val="single"/>
    </w:rPr>
  </w:style>
  <w:style w:type="character" w:styleId="BookTitle">
    <w:name w:val="Book Title"/>
    <w:basedOn w:val="DefaultParagraphFont"/>
    <w:uiPriority w:val="33"/>
    <w:qFormat/>
    <w:rsid w:val="00422C3D"/>
    <w:rPr>
      <w:b/>
      <w:bCs/>
      <w:smallCaps/>
      <w:spacing w:val="5"/>
    </w:rPr>
  </w:style>
  <w:style w:type="paragraph" w:styleId="TOCHeading">
    <w:name w:val="TOC Heading"/>
    <w:basedOn w:val="Heading1"/>
    <w:next w:val="Normal"/>
    <w:uiPriority w:val="39"/>
    <w:semiHidden/>
    <w:unhideWhenUsed/>
    <w:qFormat/>
    <w:rsid w:val="00422C3D"/>
    <w:pPr>
      <w:outlineLvl w:val="9"/>
    </w:pPr>
  </w:style>
  <w:style w:type="numbering" w:customStyle="1" w:styleId="Style1">
    <w:name w:val="Style1"/>
    <w:uiPriority w:val="99"/>
    <w:rsid w:val="000A5ACB"/>
    <w:pPr>
      <w:numPr>
        <w:numId w:val="1"/>
      </w:numPr>
    </w:pPr>
  </w:style>
  <w:style w:type="numbering" w:customStyle="1" w:styleId="Style10">
    <w:name w:val="Style 1"/>
    <w:uiPriority w:val="99"/>
    <w:rsid w:val="000A5ACB"/>
    <w:pPr>
      <w:numPr>
        <w:numId w:val="2"/>
      </w:numPr>
    </w:pPr>
  </w:style>
  <w:style w:type="paragraph" w:styleId="FootnoteText">
    <w:name w:val="footnote text"/>
    <w:basedOn w:val="Normal"/>
    <w:link w:val="FootnoteTextChar"/>
    <w:uiPriority w:val="99"/>
    <w:semiHidden/>
    <w:unhideWhenUsed/>
    <w:rsid w:val="009F5327"/>
    <w:rPr>
      <w:sz w:val="20"/>
      <w:szCs w:val="20"/>
    </w:rPr>
  </w:style>
  <w:style w:type="character" w:customStyle="1" w:styleId="FootnoteTextChar">
    <w:name w:val="Footnote Text Char"/>
    <w:basedOn w:val="DefaultParagraphFont"/>
    <w:link w:val="FootnoteText"/>
    <w:uiPriority w:val="99"/>
    <w:semiHidden/>
    <w:rsid w:val="009F5327"/>
    <w:rPr>
      <w:sz w:val="20"/>
      <w:szCs w:val="20"/>
    </w:rPr>
  </w:style>
  <w:style w:type="character" w:styleId="FootnoteReference">
    <w:name w:val="footnote reference"/>
    <w:basedOn w:val="DefaultParagraphFont"/>
    <w:uiPriority w:val="99"/>
    <w:semiHidden/>
    <w:unhideWhenUsed/>
    <w:rsid w:val="009F532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2013-10-10T20:13:00Z</dcterms:created>
  <dcterms:modified xsi:type="dcterms:W3CDTF">2013-10-15T20:47:00Z</dcterms:modified>
</cp:coreProperties>
</file>