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78" w:rsidRDefault="002B2B1A" w:rsidP="00B56819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2013 Closure Activities for Cohort 5 </w:t>
      </w:r>
    </w:p>
    <w:p w:rsidR="00474610" w:rsidRPr="00B56819" w:rsidRDefault="00575178" w:rsidP="00575178">
      <w:pPr>
        <w:rPr>
          <w:b/>
          <w:sz w:val="20"/>
          <w:szCs w:val="20"/>
        </w:rPr>
      </w:pPr>
      <w:r>
        <w:rPr>
          <w:sz w:val="24"/>
          <w:szCs w:val="24"/>
        </w:rPr>
        <w:tab/>
      </w:r>
      <w:r w:rsidR="00045180" w:rsidRPr="006009B5">
        <w:rPr>
          <w:rFonts w:ascii="Calibri" w:eastAsia="Calibri" w:hAnsi="Calibri" w:cs="Times New Roman"/>
        </w:rPr>
        <w:t>The following procedures are to be followed by sub</w:t>
      </w:r>
      <w:r w:rsidR="00045180">
        <w:rPr>
          <w:rFonts w:ascii="Calibri" w:eastAsia="Calibri" w:hAnsi="Calibri" w:cs="Times New Roman"/>
        </w:rPr>
        <w:t>-</w:t>
      </w:r>
      <w:r w:rsidR="00045180" w:rsidRPr="006009B5">
        <w:rPr>
          <w:rFonts w:ascii="Calibri" w:eastAsia="Calibri" w:hAnsi="Calibri" w:cs="Times New Roman"/>
        </w:rPr>
        <w:t xml:space="preserve">grantees to close out </w:t>
      </w:r>
      <w:r w:rsidR="002B2B1A">
        <w:t>Cohort 5</w:t>
      </w:r>
      <w:r w:rsidR="00045180">
        <w:t xml:space="preserve"> </w:t>
      </w:r>
      <w:r w:rsidR="00045180" w:rsidRPr="006009B5">
        <w:rPr>
          <w:rFonts w:ascii="Calibri" w:eastAsia="Calibri" w:hAnsi="Calibri" w:cs="Times New Roman"/>
        </w:rPr>
        <w:t>21</w:t>
      </w:r>
      <w:r w:rsidR="00045180" w:rsidRPr="006009B5">
        <w:rPr>
          <w:rFonts w:ascii="Calibri" w:eastAsia="Calibri" w:hAnsi="Calibri" w:cs="Times New Roman"/>
          <w:vertAlign w:val="superscript"/>
        </w:rPr>
        <w:t>st</w:t>
      </w:r>
      <w:r w:rsidR="00045180" w:rsidRPr="006009B5">
        <w:rPr>
          <w:rFonts w:ascii="Calibri" w:eastAsia="Calibri" w:hAnsi="Calibri" w:cs="Times New Roman"/>
        </w:rPr>
        <w:t xml:space="preserve"> CCLC awards that have reached </w:t>
      </w:r>
      <w:r w:rsidR="00045180">
        <w:t xml:space="preserve">the end of their approved cycle. </w:t>
      </w:r>
      <w:r w:rsidR="00045180" w:rsidRPr="006009B5">
        <w:rPr>
          <w:rFonts w:ascii="Calibri" w:eastAsia="Calibri" w:hAnsi="Calibri" w:cs="Times New Roman"/>
        </w:rPr>
        <w:t xml:space="preserve"> </w:t>
      </w:r>
      <w:r w:rsidR="00474610">
        <w:rPr>
          <w:sz w:val="24"/>
          <w:szCs w:val="24"/>
        </w:rPr>
        <w:t>The closure process is the same</w:t>
      </w:r>
      <w:r w:rsidR="002B2B1A">
        <w:rPr>
          <w:sz w:val="24"/>
          <w:szCs w:val="24"/>
        </w:rPr>
        <w:t xml:space="preserve"> with one exception</w:t>
      </w:r>
      <w:r w:rsidR="00474610">
        <w:rPr>
          <w:sz w:val="24"/>
          <w:szCs w:val="24"/>
        </w:rPr>
        <w:t xml:space="preserve"> for</w:t>
      </w:r>
      <w:r w:rsidR="002B2B1A">
        <w:rPr>
          <w:sz w:val="24"/>
          <w:szCs w:val="24"/>
        </w:rPr>
        <w:t xml:space="preserve"> </w:t>
      </w:r>
      <w:proofErr w:type="spellStart"/>
      <w:r w:rsidR="002B2B1A">
        <w:rPr>
          <w:sz w:val="24"/>
          <w:szCs w:val="24"/>
        </w:rPr>
        <w:t>subgrantees</w:t>
      </w:r>
      <w:proofErr w:type="spellEnd"/>
      <w:r w:rsidR="002B2B1A">
        <w:rPr>
          <w:sz w:val="24"/>
          <w:szCs w:val="24"/>
        </w:rPr>
        <w:t xml:space="preserve"> who have only Cohort 5</w:t>
      </w:r>
      <w:r w:rsidR="00474610">
        <w:rPr>
          <w:sz w:val="24"/>
          <w:szCs w:val="24"/>
        </w:rPr>
        <w:t xml:space="preserve"> as well as for those who have additional funding from another cohort.  </w:t>
      </w:r>
      <w:r w:rsidR="002B2B1A" w:rsidRPr="002B2B1A">
        <w:rPr>
          <w:b/>
          <w:sz w:val="24"/>
          <w:szCs w:val="24"/>
        </w:rPr>
        <w:t>The exception is the granting of a 3-month extension of existing Cohort 5 funds for programs that only have Cohort 5 funds.</w:t>
      </w:r>
      <w:r w:rsidR="002B2B1A">
        <w:rPr>
          <w:sz w:val="24"/>
          <w:szCs w:val="24"/>
        </w:rPr>
        <w:t xml:space="preserve"> This would allow programs to offer services through the spring and preserve some continuity for the children and families they serve. </w:t>
      </w:r>
      <w:r w:rsidR="00474610">
        <w:rPr>
          <w:sz w:val="24"/>
          <w:szCs w:val="24"/>
        </w:rPr>
        <w:t xml:space="preserve">This first page is a narrative list with details regarding the process.  </w:t>
      </w:r>
      <w:r w:rsidR="002C30CE">
        <w:rPr>
          <w:b/>
          <w:sz w:val="24"/>
          <w:szCs w:val="24"/>
        </w:rPr>
        <w:t xml:space="preserve">Page two is a confirmation </w:t>
      </w:r>
      <w:r w:rsidR="00474610" w:rsidRPr="002C5CF3">
        <w:rPr>
          <w:b/>
          <w:sz w:val="24"/>
          <w:szCs w:val="24"/>
        </w:rPr>
        <w:t xml:space="preserve">checklist that needs to be </w:t>
      </w:r>
      <w:r w:rsidR="00474610" w:rsidRPr="002C5CF3">
        <w:rPr>
          <w:b/>
          <w:sz w:val="24"/>
          <w:szCs w:val="24"/>
          <w:u w:val="single"/>
        </w:rPr>
        <w:t>signed and submitted</w:t>
      </w:r>
      <w:r w:rsidR="00D97DD9">
        <w:rPr>
          <w:b/>
          <w:sz w:val="24"/>
          <w:szCs w:val="24"/>
          <w:u w:val="single"/>
        </w:rPr>
        <w:t xml:space="preserve"> to the Wyoming Department of Education</w:t>
      </w:r>
      <w:r w:rsidR="002B2B1A">
        <w:rPr>
          <w:b/>
          <w:sz w:val="24"/>
          <w:szCs w:val="24"/>
          <w:u w:val="single"/>
        </w:rPr>
        <w:t xml:space="preserve"> by February 28, 2014</w:t>
      </w:r>
      <w:r w:rsidR="00DA0401">
        <w:rPr>
          <w:b/>
          <w:sz w:val="24"/>
          <w:szCs w:val="24"/>
          <w:u w:val="single"/>
        </w:rPr>
        <w:t xml:space="preserve"> for Cohort </w:t>
      </w:r>
      <w:r w:rsidR="002B2B1A">
        <w:rPr>
          <w:b/>
          <w:sz w:val="24"/>
          <w:szCs w:val="24"/>
          <w:u w:val="single"/>
        </w:rPr>
        <w:t>5</w:t>
      </w:r>
      <w:r w:rsidR="00474610" w:rsidRPr="002C5CF3">
        <w:rPr>
          <w:b/>
          <w:sz w:val="24"/>
          <w:szCs w:val="24"/>
        </w:rPr>
        <w:t xml:space="preserve">. </w:t>
      </w:r>
      <w:r w:rsidR="00B56819" w:rsidRPr="00B56819">
        <w:rPr>
          <w:sz w:val="20"/>
          <w:szCs w:val="20"/>
        </w:rPr>
        <w:t xml:space="preserve">These procedures are established in accordance with the Education Department General Administrative Regulations (EDGAR), 34 CFR, Part 72 (Administration of Grants and Agreements with IHE, Hospital, and Non-Profits) and EDGAR, 34 CFR, Part </w:t>
      </w:r>
      <w:proofErr w:type="gramStart"/>
      <w:r w:rsidR="00B56819" w:rsidRPr="00B56819">
        <w:rPr>
          <w:sz w:val="20"/>
          <w:szCs w:val="20"/>
        </w:rPr>
        <w:t>80  (</w:t>
      </w:r>
      <w:proofErr w:type="gramEnd"/>
      <w:r w:rsidR="00B56819" w:rsidRPr="00B56819">
        <w:rPr>
          <w:sz w:val="20"/>
          <w:szCs w:val="20"/>
        </w:rPr>
        <w:t>Uniform Administrative Requirements for Grants and Cooperative Agreements to State and Local Governments)</w:t>
      </w:r>
    </w:p>
    <w:p w:rsidR="00474610" w:rsidRPr="006B101E" w:rsidRDefault="00474610" w:rsidP="006B10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101E">
        <w:rPr>
          <w:sz w:val="24"/>
          <w:szCs w:val="24"/>
        </w:rPr>
        <w:t xml:space="preserve">If expenditures have been encumbered for goods or services, those services must be </w:t>
      </w:r>
      <w:r w:rsidRPr="006B101E">
        <w:rPr>
          <w:sz w:val="24"/>
          <w:szCs w:val="24"/>
          <w:u w:val="single"/>
        </w:rPr>
        <w:t xml:space="preserve">completed </w:t>
      </w:r>
      <w:r w:rsidR="006B2728">
        <w:rPr>
          <w:sz w:val="24"/>
          <w:szCs w:val="24"/>
        </w:rPr>
        <w:t>by December 31, 2013</w:t>
      </w:r>
      <w:r w:rsidR="002B2B1A">
        <w:rPr>
          <w:sz w:val="24"/>
          <w:szCs w:val="24"/>
        </w:rPr>
        <w:t xml:space="preserve"> unless an extension is granted.</w:t>
      </w:r>
      <w:r w:rsidRPr="006B101E">
        <w:rPr>
          <w:sz w:val="24"/>
          <w:szCs w:val="24"/>
        </w:rPr>
        <w:t xml:space="preserve"> The invoices must be paid and request for reimbursement must be subm</w:t>
      </w:r>
      <w:r w:rsidR="002B2B1A">
        <w:rPr>
          <w:sz w:val="24"/>
          <w:szCs w:val="24"/>
        </w:rPr>
        <w:t>itted prior to February 28, 2014.</w:t>
      </w:r>
      <w:r w:rsidRPr="006B101E">
        <w:rPr>
          <w:sz w:val="24"/>
          <w:szCs w:val="24"/>
        </w:rPr>
        <w:t xml:space="preserve"> The fiscal agent should not pay for items or services until completed and delivered.</w:t>
      </w:r>
    </w:p>
    <w:p w:rsidR="00474610" w:rsidRPr="006B101E" w:rsidRDefault="00474610" w:rsidP="006B10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101E">
        <w:rPr>
          <w:sz w:val="24"/>
          <w:szCs w:val="24"/>
        </w:rPr>
        <w:t xml:space="preserve">Identify and pay all fiscal obligations by completing cash requests on the Grants Management System (GMS). </w:t>
      </w:r>
    </w:p>
    <w:p w:rsidR="00474610" w:rsidRPr="006B101E" w:rsidRDefault="00474610" w:rsidP="006B10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101E">
        <w:rPr>
          <w:sz w:val="24"/>
          <w:szCs w:val="24"/>
        </w:rPr>
        <w:t>If actual expenditures deviate by m</w:t>
      </w:r>
      <w:r w:rsidR="006B101E">
        <w:rPr>
          <w:sz w:val="24"/>
          <w:szCs w:val="24"/>
        </w:rPr>
        <w:t xml:space="preserve">ore </w:t>
      </w:r>
      <w:r w:rsidR="00045180">
        <w:rPr>
          <w:sz w:val="24"/>
          <w:szCs w:val="24"/>
        </w:rPr>
        <w:t>than</w:t>
      </w:r>
      <w:r w:rsidR="006B101E">
        <w:rPr>
          <w:sz w:val="24"/>
          <w:szCs w:val="24"/>
        </w:rPr>
        <w:t xml:space="preserve"> 10</w:t>
      </w:r>
      <w:r w:rsidRPr="006B101E">
        <w:rPr>
          <w:sz w:val="24"/>
          <w:szCs w:val="24"/>
        </w:rPr>
        <w:t xml:space="preserve">% in any series in the approved budget, please submit a budget modification and provide details for all planned expenditures. </w:t>
      </w:r>
    </w:p>
    <w:p w:rsidR="00474610" w:rsidRPr="006B101E" w:rsidRDefault="006D7B06" w:rsidP="006B10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101E">
        <w:rPr>
          <w:sz w:val="24"/>
          <w:szCs w:val="24"/>
        </w:rPr>
        <w:t>Complete</w:t>
      </w:r>
      <w:r w:rsidR="00474610" w:rsidRPr="006B101E">
        <w:rPr>
          <w:sz w:val="24"/>
          <w:szCs w:val="24"/>
        </w:rPr>
        <w:t xml:space="preserve"> the Final Expendi</w:t>
      </w:r>
      <w:r w:rsidR="002B2B1A">
        <w:rPr>
          <w:sz w:val="24"/>
          <w:szCs w:val="24"/>
        </w:rPr>
        <w:t>ture report by February 28, 2014</w:t>
      </w:r>
      <w:r w:rsidR="00474610" w:rsidRPr="006B101E">
        <w:rPr>
          <w:sz w:val="24"/>
          <w:szCs w:val="24"/>
        </w:rPr>
        <w:t xml:space="preserve"> for fiscal obli</w:t>
      </w:r>
      <w:r w:rsidR="002B2B1A">
        <w:rPr>
          <w:sz w:val="24"/>
          <w:szCs w:val="24"/>
        </w:rPr>
        <w:t>gations ending December 31, 2013.</w:t>
      </w:r>
      <w:r w:rsidR="00DA0401">
        <w:rPr>
          <w:sz w:val="24"/>
          <w:szCs w:val="24"/>
        </w:rPr>
        <w:t xml:space="preserve"> </w:t>
      </w:r>
    </w:p>
    <w:p w:rsidR="00474610" w:rsidRPr="002B2B1A" w:rsidRDefault="00474610" w:rsidP="006B10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2B1A">
        <w:rPr>
          <w:sz w:val="24"/>
          <w:szCs w:val="24"/>
        </w:rPr>
        <w:t>Using the Final Expenditure report, complete the last Cash Requ</w:t>
      </w:r>
      <w:r w:rsidR="002B2B1A" w:rsidRPr="002B2B1A">
        <w:rPr>
          <w:sz w:val="24"/>
          <w:szCs w:val="24"/>
        </w:rPr>
        <w:t>e</w:t>
      </w:r>
      <w:r w:rsidR="002B2B1A">
        <w:rPr>
          <w:sz w:val="24"/>
          <w:szCs w:val="24"/>
        </w:rPr>
        <w:t>st via GMS by February 28, 2014 unless an extension is granted.</w:t>
      </w:r>
    </w:p>
    <w:p w:rsidR="006B2728" w:rsidRDefault="00DF751A" w:rsidP="006B10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2B1A">
        <w:rPr>
          <w:sz w:val="24"/>
          <w:szCs w:val="24"/>
        </w:rPr>
        <w:t xml:space="preserve">Complete and submit all of the statewide evaluation report information to include a </w:t>
      </w:r>
      <w:proofErr w:type="spellStart"/>
      <w:r w:rsidR="002B2B1A" w:rsidRPr="002B2B1A">
        <w:rPr>
          <w:sz w:val="24"/>
          <w:szCs w:val="24"/>
        </w:rPr>
        <w:t>WISERid</w:t>
      </w:r>
      <w:proofErr w:type="spellEnd"/>
      <w:r w:rsidR="002B2B1A" w:rsidRPr="002B2B1A">
        <w:rPr>
          <w:sz w:val="24"/>
          <w:szCs w:val="24"/>
        </w:rPr>
        <w:t xml:space="preserve"> upload template for </w:t>
      </w:r>
      <w:r w:rsidR="002B2B1A" w:rsidRPr="002B2B1A">
        <w:rPr>
          <w:sz w:val="24"/>
          <w:szCs w:val="24"/>
          <w:u w:val="single"/>
        </w:rPr>
        <w:t>each center</w:t>
      </w:r>
      <w:r w:rsidR="002B2B1A" w:rsidRPr="002B2B1A">
        <w:rPr>
          <w:sz w:val="24"/>
          <w:szCs w:val="24"/>
        </w:rPr>
        <w:t xml:space="preserve"> in cohort 5</w:t>
      </w:r>
      <w:r w:rsidRPr="002B2B1A">
        <w:rPr>
          <w:sz w:val="24"/>
          <w:szCs w:val="24"/>
        </w:rPr>
        <w:t xml:space="preserve"> with the following information:  WISER ids, matched </w:t>
      </w:r>
      <w:r w:rsidR="002B2B1A" w:rsidRPr="002B2B1A">
        <w:rPr>
          <w:sz w:val="24"/>
          <w:szCs w:val="24"/>
        </w:rPr>
        <w:t xml:space="preserve">teacher </w:t>
      </w:r>
      <w:proofErr w:type="spellStart"/>
      <w:r w:rsidRPr="002B2B1A">
        <w:rPr>
          <w:sz w:val="24"/>
          <w:szCs w:val="24"/>
        </w:rPr>
        <w:t>WISEids</w:t>
      </w:r>
      <w:proofErr w:type="spellEnd"/>
      <w:r w:rsidR="002B2B1A" w:rsidRPr="002B2B1A">
        <w:rPr>
          <w:sz w:val="24"/>
          <w:szCs w:val="24"/>
        </w:rPr>
        <w:t xml:space="preserve"> if utilizing online teacher surveys</w:t>
      </w:r>
      <w:r w:rsidRPr="002B2B1A">
        <w:rPr>
          <w:sz w:val="24"/>
          <w:szCs w:val="24"/>
        </w:rPr>
        <w:t xml:space="preserve">, </w:t>
      </w:r>
      <w:r w:rsidR="002B2B1A">
        <w:rPr>
          <w:sz w:val="24"/>
          <w:szCs w:val="24"/>
        </w:rPr>
        <w:t>s</w:t>
      </w:r>
      <w:r w:rsidR="002B2B1A" w:rsidRPr="002B2B1A">
        <w:rPr>
          <w:sz w:val="24"/>
          <w:szCs w:val="24"/>
        </w:rPr>
        <w:t>tudent full legal name, birth date and grade, center ID and name as in Fusion and attendance information as required on the template. Subgrantees using</w:t>
      </w:r>
      <w:r w:rsidRPr="002B2B1A">
        <w:rPr>
          <w:sz w:val="24"/>
          <w:szCs w:val="24"/>
        </w:rPr>
        <w:t xml:space="preserve"> paper teacher surveys </w:t>
      </w:r>
      <w:r w:rsidR="002B2B1A" w:rsidRPr="002B2B1A">
        <w:rPr>
          <w:sz w:val="24"/>
          <w:szCs w:val="24"/>
        </w:rPr>
        <w:t xml:space="preserve">should expect to distribute and collect them before Winter Break 2013. </w:t>
      </w:r>
      <w:r w:rsidR="006B2728">
        <w:rPr>
          <w:sz w:val="24"/>
          <w:szCs w:val="24"/>
        </w:rPr>
        <w:t>Surveys will be entered by continuing Subgrantees in May</w:t>
      </w:r>
      <w:proofErr w:type="gramStart"/>
      <w:r w:rsidR="006B2728">
        <w:rPr>
          <w:sz w:val="24"/>
          <w:szCs w:val="24"/>
        </w:rPr>
        <w:t>;  Cohort</w:t>
      </w:r>
      <w:proofErr w:type="gramEnd"/>
      <w:r w:rsidR="006B2728">
        <w:rPr>
          <w:sz w:val="24"/>
          <w:szCs w:val="24"/>
        </w:rPr>
        <w:t xml:space="preserve"> 5 only Subgrantees should mail the surveys </w:t>
      </w:r>
      <w:r w:rsidR="006B2728" w:rsidRPr="006B2728">
        <w:rPr>
          <w:i/>
          <w:sz w:val="24"/>
          <w:szCs w:val="24"/>
        </w:rPr>
        <w:t xml:space="preserve">labeled with Center and </w:t>
      </w:r>
      <w:proofErr w:type="spellStart"/>
      <w:r w:rsidR="006B2728" w:rsidRPr="006B2728">
        <w:rPr>
          <w:i/>
          <w:sz w:val="24"/>
          <w:szCs w:val="24"/>
        </w:rPr>
        <w:t>WISERid</w:t>
      </w:r>
      <w:proofErr w:type="spellEnd"/>
      <w:r w:rsidR="006B2728">
        <w:rPr>
          <w:sz w:val="24"/>
          <w:szCs w:val="24"/>
        </w:rPr>
        <w:t xml:space="preserve"> to the WDE for input in the spring. </w:t>
      </w:r>
      <w:r w:rsidRPr="002B2B1A">
        <w:rPr>
          <w:sz w:val="24"/>
          <w:szCs w:val="24"/>
        </w:rPr>
        <w:t xml:space="preserve"> </w:t>
      </w:r>
    </w:p>
    <w:p w:rsidR="002B2B1A" w:rsidRDefault="002B2B1A" w:rsidP="006B10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2B1A">
        <w:rPr>
          <w:sz w:val="24"/>
          <w:szCs w:val="24"/>
        </w:rPr>
        <w:t xml:space="preserve">An </w:t>
      </w:r>
      <w:r w:rsidR="00DF751A" w:rsidRPr="002B2B1A">
        <w:rPr>
          <w:sz w:val="24"/>
          <w:szCs w:val="24"/>
        </w:rPr>
        <w:t xml:space="preserve">APR questionnaire </w:t>
      </w:r>
      <w:r w:rsidR="006B2728" w:rsidRPr="006B2728">
        <w:rPr>
          <w:sz w:val="24"/>
          <w:szCs w:val="24"/>
          <w:u w:val="single"/>
        </w:rPr>
        <w:t>for each center</w:t>
      </w:r>
      <w:r w:rsidR="006B2728">
        <w:rPr>
          <w:sz w:val="24"/>
          <w:szCs w:val="24"/>
        </w:rPr>
        <w:t xml:space="preserve"> </w:t>
      </w:r>
      <w:r w:rsidRPr="002B2B1A">
        <w:rPr>
          <w:sz w:val="24"/>
          <w:szCs w:val="24"/>
        </w:rPr>
        <w:t xml:space="preserve">for Cohort 5 only </w:t>
      </w:r>
      <w:proofErr w:type="spellStart"/>
      <w:r w:rsidRPr="002B2B1A">
        <w:rPr>
          <w:sz w:val="24"/>
          <w:szCs w:val="24"/>
        </w:rPr>
        <w:t>subgrantess</w:t>
      </w:r>
      <w:proofErr w:type="spellEnd"/>
      <w:r w:rsidRPr="002B2B1A">
        <w:rPr>
          <w:sz w:val="24"/>
          <w:szCs w:val="24"/>
        </w:rPr>
        <w:t xml:space="preserve"> will also be required</w:t>
      </w:r>
      <w:r w:rsidR="00DF751A" w:rsidRPr="002B2B1A">
        <w:rPr>
          <w:sz w:val="24"/>
          <w:szCs w:val="24"/>
        </w:rPr>
        <w:t>.</w:t>
      </w:r>
      <w:r w:rsidR="006D7B06" w:rsidRPr="002B2B1A">
        <w:rPr>
          <w:sz w:val="24"/>
          <w:szCs w:val="24"/>
        </w:rPr>
        <w:t xml:space="preserve"> </w:t>
      </w:r>
      <w:r w:rsidRPr="002B2B1A">
        <w:rPr>
          <w:sz w:val="24"/>
          <w:szCs w:val="24"/>
        </w:rPr>
        <w:t>It is due by</w:t>
      </w:r>
      <w:r w:rsidR="006D7B06" w:rsidRPr="002B2B1A">
        <w:rPr>
          <w:sz w:val="24"/>
          <w:szCs w:val="24"/>
        </w:rPr>
        <w:t xml:space="preserve"> </w:t>
      </w:r>
      <w:r w:rsidRPr="002B2B1A">
        <w:rPr>
          <w:sz w:val="24"/>
          <w:szCs w:val="24"/>
        </w:rPr>
        <w:t>December 31, 2013</w:t>
      </w:r>
      <w:r w:rsidR="006D7B06" w:rsidRPr="002B2B1A">
        <w:rPr>
          <w:sz w:val="24"/>
          <w:szCs w:val="24"/>
        </w:rPr>
        <w:t>.</w:t>
      </w:r>
      <w:r w:rsidR="00DA0401" w:rsidRPr="002B2B1A">
        <w:rPr>
          <w:sz w:val="24"/>
          <w:szCs w:val="24"/>
        </w:rPr>
        <w:t xml:space="preserve"> </w:t>
      </w:r>
      <w:r w:rsidR="006B2728">
        <w:rPr>
          <w:sz w:val="24"/>
          <w:szCs w:val="24"/>
        </w:rPr>
        <w:t>Continuing Subgrantees will enter the cohort 5 information along with other cohort information in the spring.</w:t>
      </w:r>
    </w:p>
    <w:p w:rsidR="006D7B06" w:rsidRPr="002B2B1A" w:rsidRDefault="006D7B06" w:rsidP="006B10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2B1A">
        <w:rPr>
          <w:sz w:val="24"/>
          <w:szCs w:val="24"/>
        </w:rPr>
        <w:t>Follow the appropriate guidelines for disposition of equipment as outlined in Education Department General Administration Regulations (EDGAR) Part 74.34, Equipment</w:t>
      </w:r>
      <w:r w:rsidR="006B101E" w:rsidRPr="002B2B1A">
        <w:rPr>
          <w:sz w:val="24"/>
          <w:szCs w:val="24"/>
        </w:rPr>
        <w:t xml:space="preserve"> (Authority: 20 U.S.C. 1221e-3,</w:t>
      </w:r>
      <w:r w:rsidRPr="002B2B1A">
        <w:rPr>
          <w:sz w:val="24"/>
          <w:szCs w:val="24"/>
        </w:rPr>
        <w:t xml:space="preserve"> 3474; OMB Circular A-110).</w:t>
      </w:r>
    </w:p>
    <w:p w:rsidR="006B101E" w:rsidRPr="002B2B1A" w:rsidRDefault="0069053C" w:rsidP="005751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2B1A">
        <w:rPr>
          <w:sz w:val="24"/>
          <w:szCs w:val="24"/>
        </w:rPr>
        <w:lastRenderedPageBreak/>
        <w:t>Submit a final inventory of all equipment and the disposition plans</w:t>
      </w:r>
      <w:r w:rsidR="006B2728">
        <w:rPr>
          <w:sz w:val="24"/>
          <w:szCs w:val="24"/>
        </w:rPr>
        <w:t xml:space="preserve"> no later than February 28, 2014</w:t>
      </w:r>
      <w:r w:rsidR="002B2B1A" w:rsidRPr="002B2B1A">
        <w:rPr>
          <w:sz w:val="24"/>
          <w:szCs w:val="24"/>
        </w:rPr>
        <w:t>.</w:t>
      </w:r>
      <w:r w:rsidR="00DA0401" w:rsidRPr="002B2B1A">
        <w:rPr>
          <w:sz w:val="24"/>
          <w:szCs w:val="24"/>
        </w:rPr>
        <w:t xml:space="preserve"> </w:t>
      </w:r>
      <w:r w:rsidR="006B101E" w:rsidRPr="002B2B1A">
        <w:rPr>
          <w:sz w:val="24"/>
          <w:szCs w:val="24"/>
        </w:rPr>
        <w:t xml:space="preserve">Questions regarding any of these grant closeout procedures may be directed to: </w:t>
      </w:r>
    </w:p>
    <w:p w:rsidR="006B101E" w:rsidRPr="006B101E" w:rsidRDefault="006B101E" w:rsidP="006B101E">
      <w:pPr>
        <w:spacing w:line="240" w:lineRule="auto"/>
      </w:pPr>
      <w:r w:rsidRPr="006B101E">
        <w:t>Karen Bierhaus</w:t>
      </w:r>
      <w:r>
        <w:t xml:space="preserve">, </w:t>
      </w:r>
      <w:r w:rsidRPr="006B101E">
        <w:t>21</w:t>
      </w:r>
      <w:r w:rsidRPr="006B101E">
        <w:rPr>
          <w:vertAlign w:val="superscript"/>
        </w:rPr>
        <w:t>st</w:t>
      </w:r>
      <w:r>
        <w:t xml:space="preserve"> </w:t>
      </w:r>
      <w:r w:rsidRPr="006B101E">
        <w:t xml:space="preserve">CCLC Program Consultant  </w:t>
      </w:r>
    </w:p>
    <w:p w:rsidR="006B101E" w:rsidRPr="006B101E" w:rsidRDefault="003A7234" w:rsidP="006B101E">
      <w:pPr>
        <w:spacing w:line="240" w:lineRule="auto"/>
      </w:pPr>
      <w:hyperlink r:id="rId8" w:history="1">
        <w:r w:rsidR="006B101E" w:rsidRPr="006B101E">
          <w:rPr>
            <w:rStyle w:val="Hyperlink"/>
          </w:rPr>
          <w:t>karen.bierhaus@wyo.gov</w:t>
        </w:r>
      </w:hyperlink>
      <w:r w:rsidR="006B101E" w:rsidRPr="006B101E">
        <w:t xml:space="preserve">   </w:t>
      </w:r>
      <w:r w:rsidR="00861BA9">
        <w:t xml:space="preserve">307-857-9284    </w:t>
      </w:r>
      <w:r w:rsidR="006B101E" w:rsidRPr="006B101E">
        <w:t>307-777-5332</w:t>
      </w:r>
    </w:p>
    <w:p w:rsidR="006B101E" w:rsidRPr="006B101E" w:rsidRDefault="006B101E" w:rsidP="006B101E">
      <w:pPr>
        <w:spacing w:line="240" w:lineRule="auto"/>
      </w:pPr>
      <w:r w:rsidRPr="006B101E">
        <w:t>Documents may be transmitted electronically or by mail:</w:t>
      </w:r>
    </w:p>
    <w:p w:rsidR="006B101E" w:rsidRPr="006B101E" w:rsidRDefault="006B101E" w:rsidP="006B101E">
      <w:pPr>
        <w:spacing w:line="240" w:lineRule="auto"/>
      </w:pPr>
      <w:r>
        <w:t>21</w:t>
      </w:r>
      <w:r w:rsidRPr="006B101E">
        <w:rPr>
          <w:vertAlign w:val="superscript"/>
        </w:rPr>
        <w:t>st</w:t>
      </w:r>
      <w:r>
        <w:t xml:space="preserve"> CCLC </w:t>
      </w:r>
      <w:r w:rsidRPr="006B101E">
        <w:t>Wyoming Department of Education</w:t>
      </w:r>
    </w:p>
    <w:p w:rsidR="006B101E" w:rsidRPr="006B101E" w:rsidRDefault="006B2728" w:rsidP="006B101E">
      <w:pPr>
        <w:spacing w:line="240" w:lineRule="auto"/>
      </w:pPr>
      <w:r>
        <w:t xml:space="preserve">320 West Main Street </w:t>
      </w:r>
    </w:p>
    <w:p w:rsidR="006B101E" w:rsidRDefault="006B2728" w:rsidP="006B101E">
      <w:pPr>
        <w:spacing w:line="240" w:lineRule="auto"/>
      </w:pPr>
      <w:proofErr w:type="gramStart"/>
      <w:r>
        <w:t>Riverton ,</w:t>
      </w:r>
      <w:proofErr w:type="gramEnd"/>
      <w:r>
        <w:t xml:space="preserve"> WY 82501</w:t>
      </w:r>
      <w:r w:rsidR="006B101E" w:rsidRPr="006B101E">
        <w:t xml:space="preserve"> </w:t>
      </w:r>
    </w:p>
    <w:p w:rsidR="00DA0401" w:rsidRDefault="00DA0401" w:rsidP="008C2C5C">
      <w:pPr>
        <w:spacing w:line="240" w:lineRule="auto"/>
        <w:ind w:left="2880" w:firstLine="720"/>
        <w:rPr>
          <w:b/>
          <w:i/>
          <w:sz w:val="32"/>
          <w:szCs w:val="32"/>
        </w:rPr>
      </w:pPr>
    </w:p>
    <w:p w:rsidR="00DA0401" w:rsidRDefault="00DA0401" w:rsidP="008C2C5C">
      <w:pPr>
        <w:spacing w:line="240" w:lineRule="auto"/>
        <w:ind w:left="2880" w:firstLine="720"/>
        <w:rPr>
          <w:b/>
          <w:i/>
          <w:sz w:val="32"/>
          <w:szCs w:val="32"/>
        </w:rPr>
      </w:pPr>
    </w:p>
    <w:p w:rsidR="00DA0401" w:rsidRDefault="00DA0401" w:rsidP="008C2C5C">
      <w:pPr>
        <w:spacing w:line="240" w:lineRule="auto"/>
        <w:ind w:left="2880" w:firstLine="720"/>
        <w:rPr>
          <w:b/>
          <w:i/>
          <w:sz w:val="32"/>
          <w:szCs w:val="32"/>
        </w:rPr>
      </w:pPr>
    </w:p>
    <w:p w:rsidR="00DA0401" w:rsidRDefault="00DA0401" w:rsidP="008C2C5C">
      <w:pPr>
        <w:spacing w:line="240" w:lineRule="auto"/>
        <w:ind w:left="2880" w:firstLine="720"/>
        <w:rPr>
          <w:b/>
          <w:i/>
          <w:sz w:val="32"/>
          <w:szCs w:val="32"/>
        </w:rPr>
      </w:pPr>
    </w:p>
    <w:p w:rsidR="00DA0401" w:rsidRDefault="00DA0401" w:rsidP="008C2C5C">
      <w:pPr>
        <w:spacing w:line="240" w:lineRule="auto"/>
        <w:ind w:left="2880" w:firstLine="720"/>
        <w:rPr>
          <w:b/>
          <w:i/>
          <w:sz w:val="32"/>
          <w:szCs w:val="32"/>
        </w:rPr>
      </w:pPr>
    </w:p>
    <w:p w:rsidR="00DA0401" w:rsidRDefault="00DA0401" w:rsidP="008C2C5C">
      <w:pPr>
        <w:spacing w:line="240" w:lineRule="auto"/>
        <w:ind w:left="2880" w:firstLine="720"/>
        <w:rPr>
          <w:b/>
          <w:i/>
          <w:sz w:val="32"/>
          <w:szCs w:val="32"/>
        </w:rPr>
      </w:pPr>
    </w:p>
    <w:p w:rsidR="00DA0401" w:rsidRDefault="00DA0401" w:rsidP="008C2C5C">
      <w:pPr>
        <w:spacing w:line="240" w:lineRule="auto"/>
        <w:ind w:left="2880" w:firstLine="720"/>
        <w:rPr>
          <w:b/>
          <w:i/>
          <w:sz w:val="32"/>
          <w:szCs w:val="32"/>
        </w:rPr>
      </w:pPr>
    </w:p>
    <w:p w:rsidR="00DA0401" w:rsidRDefault="00DA0401" w:rsidP="008C2C5C">
      <w:pPr>
        <w:spacing w:line="240" w:lineRule="auto"/>
        <w:ind w:left="2880" w:firstLine="720"/>
        <w:rPr>
          <w:b/>
          <w:i/>
          <w:sz w:val="32"/>
          <w:szCs w:val="32"/>
        </w:rPr>
      </w:pPr>
    </w:p>
    <w:p w:rsidR="00DA0401" w:rsidRDefault="00DA0401" w:rsidP="008C2C5C">
      <w:pPr>
        <w:spacing w:line="240" w:lineRule="auto"/>
        <w:ind w:left="2880" w:firstLine="720"/>
        <w:rPr>
          <w:b/>
          <w:i/>
          <w:sz w:val="32"/>
          <w:szCs w:val="32"/>
        </w:rPr>
      </w:pPr>
    </w:p>
    <w:p w:rsidR="00DA0401" w:rsidRDefault="00DA0401" w:rsidP="008C2C5C">
      <w:pPr>
        <w:spacing w:line="240" w:lineRule="auto"/>
        <w:ind w:left="2880" w:firstLine="720"/>
        <w:rPr>
          <w:b/>
          <w:i/>
          <w:sz w:val="32"/>
          <w:szCs w:val="32"/>
        </w:rPr>
      </w:pPr>
    </w:p>
    <w:p w:rsidR="00DA0401" w:rsidRDefault="00DA0401" w:rsidP="008C2C5C">
      <w:pPr>
        <w:spacing w:line="240" w:lineRule="auto"/>
        <w:ind w:left="2880" w:firstLine="720"/>
        <w:rPr>
          <w:b/>
          <w:i/>
          <w:sz w:val="32"/>
          <w:szCs w:val="32"/>
        </w:rPr>
      </w:pPr>
    </w:p>
    <w:p w:rsidR="00DA0401" w:rsidRDefault="00DA0401" w:rsidP="008C2C5C">
      <w:pPr>
        <w:spacing w:line="240" w:lineRule="auto"/>
        <w:ind w:left="2880" w:firstLine="720"/>
        <w:rPr>
          <w:b/>
          <w:i/>
          <w:sz w:val="32"/>
          <w:szCs w:val="32"/>
        </w:rPr>
      </w:pPr>
    </w:p>
    <w:p w:rsidR="00DA0401" w:rsidRDefault="00DA0401" w:rsidP="008C2C5C">
      <w:pPr>
        <w:spacing w:line="240" w:lineRule="auto"/>
        <w:ind w:left="2880" w:firstLine="720"/>
        <w:rPr>
          <w:b/>
          <w:i/>
          <w:sz w:val="32"/>
          <w:szCs w:val="32"/>
        </w:rPr>
      </w:pPr>
    </w:p>
    <w:p w:rsidR="006B2728" w:rsidRDefault="006B2728" w:rsidP="006B2728">
      <w:pPr>
        <w:spacing w:line="240" w:lineRule="auto"/>
        <w:rPr>
          <w:b/>
          <w:i/>
          <w:sz w:val="32"/>
          <w:szCs w:val="32"/>
        </w:rPr>
      </w:pPr>
    </w:p>
    <w:p w:rsidR="006B2728" w:rsidRDefault="006B2728" w:rsidP="006B2728">
      <w:pPr>
        <w:spacing w:line="240" w:lineRule="auto"/>
        <w:rPr>
          <w:b/>
          <w:i/>
          <w:sz w:val="32"/>
          <w:szCs w:val="32"/>
        </w:rPr>
      </w:pPr>
    </w:p>
    <w:p w:rsidR="006B2728" w:rsidRDefault="006B2728" w:rsidP="006B2728">
      <w:pPr>
        <w:spacing w:line="240" w:lineRule="auto"/>
        <w:rPr>
          <w:b/>
          <w:i/>
          <w:sz w:val="32"/>
          <w:szCs w:val="32"/>
        </w:rPr>
      </w:pPr>
    </w:p>
    <w:p w:rsidR="00674821" w:rsidRPr="00293764" w:rsidRDefault="00674821" w:rsidP="006B2728">
      <w:pPr>
        <w:spacing w:line="240" w:lineRule="auto"/>
        <w:rPr>
          <w:b/>
          <w:i/>
          <w:sz w:val="32"/>
          <w:szCs w:val="32"/>
        </w:rPr>
      </w:pPr>
      <w:r w:rsidRPr="00293764">
        <w:rPr>
          <w:b/>
          <w:i/>
          <w:sz w:val="32"/>
          <w:szCs w:val="32"/>
        </w:rPr>
        <w:lastRenderedPageBreak/>
        <w:t>Grant Closeout Checklist</w:t>
      </w:r>
    </w:p>
    <w:tbl>
      <w:tblPr>
        <w:tblStyle w:val="MediumList1-Accent1"/>
        <w:tblW w:w="10133" w:type="dxa"/>
        <w:tblCellSpacing w:w="14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943"/>
        <w:gridCol w:w="8190"/>
      </w:tblGrid>
      <w:tr w:rsidR="002C3516" w:rsidTr="008C2C5C">
        <w:trPr>
          <w:cnfStyle w:val="100000000000"/>
          <w:tblCellSpacing w:w="14" w:type="dxa"/>
        </w:trPr>
        <w:tc>
          <w:tcPr>
            <w:cnfStyle w:val="001000000000"/>
            <w:tcW w:w="1901" w:type="dxa"/>
            <w:tcBorders>
              <w:top w:val="none" w:sz="0" w:space="0" w:color="auto"/>
              <w:bottom w:val="none" w:sz="0" w:space="0" w:color="auto"/>
            </w:tcBorders>
          </w:tcPr>
          <w:p w:rsidR="002C3516" w:rsidRDefault="002C3516" w:rsidP="006B101E"/>
        </w:tc>
        <w:tc>
          <w:tcPr>
            <w:tcW w:w="8148" w:type="dxa"/>
            <w:tcBorders>
              <w:top w:val="none" w:sz="0" w:space="0" w:color="auto"/>
              <w:bottom w:val="none" w:sz="0" w:space="0" w:color="auto"/>
            </w:tcBorders>
          </w:tcPr>
          <w:p w:rsidR="002C3516" w:rsidRPr="00293764" w:rsidRDefault="00293764" w:rsidP="006B101E">
            <w:pPr>
              <w:cnfStyle w:val="100000000000"/>
              <w:rPr>
                <w:b/>
                <w:sz w:val="28"/>
                <w:szCs w:val="28"/>
              </w:rPr>
            </w:pPr>
            <w:r w:rsidRPr="00293764">
              <w:rPr>
                <w:b/>
                <w:sz w:val="28"/>
                <w:szCs w:val="28"/>
              </w:rPr>
              <w:t xml:space="preserve"> Task</w:t>
            </w:r>
          </w:p>
        </w:tc>
      </w:tr>
      <w:bookmarkStart w:id="0" w:name="Check1"/>
      <w:tr w:rsidR="002C3516" w:rsidTr="008C2C5C">
        <w:trPr>
          <w:cnfStyle w:val="000000100000"/>
          <w:tblCellSpacing w:w="14" w:type="dxa"/>
        </w:trPr>
        <w:tc>
          <w:tcPr>
            <w:cnfStyle w:val="001000000000"/>
            <w:tcW w:w="1901" w:type="dxa"/>
          </w:tcPr>
          <w:p w:rsidR="002C3516" w:rsidRDefault="003A7234" w:rsidP="00F87D61">
            <w:pPr>
              <w:spacing w:line="36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1A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8148" w:type="dxa"/>
          </w:tcPr>
          <w:p w:rsidR="002C3516" w:rsidRDefault="0046379E" w:rsidP="00F87D61">
            <w:pPr>
              <w:spacing w:line="360" w:lineRule="auto"/>
              <w:cnfStyle w:val="000000100000"/>
            </w:pPr>
            <w:r>
              <w:t xml:space="preserve">Submit any budget modifications necessary to spend grant funds. </w:t>
            </w:r>
          </w:p>
        </w:tc>
      </w:tr>
      <w:tr w:rsidR="005A0E5B" w:rsidTr="008C2C5C">
        <w:trPr>
          <w:tblCellSpacing w:w="14" w:type="dxa"/>
        </w:trPr>
        <w:tc>
          <w:tcPr>
            <w:cnfStyle w:val="001000000000"/>
            <w:tcW w:w="1901" w:type="dxa"/>
          </w:tcPr>
          <w:p w:rsidR="005A0E5B" w:rsidRDefault="003A7234" w:rsidP="00F87D61">
            <w:pPr>
              <w:spacing w:line="360" w:lineRule="auto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E5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148" w:type="dxa"/>
          </w:tcPr>
          <w:p w:rsidR="005A0E5B" w:rsidRDefault="005A0E5B" w:rsidP="006B2728">
            <w:pPr>
              <w:cnfStyle w:val="000000000000"/>
            </w:pPr>
            <w:r>
              <w:t xml:space="preserve">Notify current staff of any anticipated changes in employment that </w:t>
            </w:r>
            <w:r w:rsidR="006B2728">
              <w:t>would happen after December 2013.</w:t>
            </w:r>
          </w:p>
        </w:tc>
      </w:tr>
      <w:bookmarkStart w:id="1" w:name="Check2"/>
      <w:tr w:rsidR="002C3516" w:rsidTr="008C2C5C">
        <w:trPr>
          <w:cnfStyle w:val="000000100000"/>
          <w:tblCellSpacing w:w="14" w:type="dxa"/>
        </w:trPr>
        <w:tc>
          <w:tcPr>
            <w:cnfStyle w:val="001000000000"/>
            <w:tcW w:w="1901" w:type="dxa"/>
          </w:tcPr>
          <w:p w:rsidR="002C3516" w:rsidRDefault="003A7234" w:rsidP="00F87D61">
            <w:pPr>
              <w:spacing w:line="360" w:lineRule="auto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1A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8148" w:type="dxa"/>
          </w:tcPr>
          <w:p w:rsidR="002C3516" w:rsidRDefault="005710DB" w:rsidP="00F87D61">
            <w:pPr>
              <w:spacing w:line="360" w:lineRule="auto"/>
              <w:cnfStyle w:val="000000100000"/>
            </w:pPr>
            <w:r>
              <w:t>Budget plan is drafted to ensure all funds to be</w:t>
            </w:r>
            <w:r w:rsidR="006B2728">
              <w:t xml:space="preserve"> encumbered by December 31, 2013</w:t>
            </w:r>
            <w:r w:rsidR="00662B69">
              <w:t>.</w:t>
            </w:r>
          </w:p>
        </w:tc>
      </w:tr>
      <w:bookmarkStart w:id="2" w:name="Check3"/>
      <w:tr w:rsidR="002C3516" w:rsidTr="008C2C5C">
        <w:trPr>
          <w:tblCellSpacing w:w="14" w:type="dxa"/>
        </w:trPr>
        <w:tc>
          <w:tcPr>
            <w:cnfStyle w:val="001000000000"/>
            <w:tcW w:w="1901" w:type="dxa"/>
          </w:tcPr>
          <w:p w:rsidR="002C3516" w:rsidRDefault="003A7234" w:rsidP="00F87D61">
            <w:pPr>
              <w:spacing w:line="360" w:lineRule="auto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1A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8148" w:type="dxa"/>
          </w:tcPr>
          <w:p w:rsidR="002C3516" w:rsidRDefault="0069053C" w:rsidP="00F87D61">
            <w:pPr>
              <w:spacing w:line="360" w:lineRule="auto"/>
              <w:cnfStyle w:val="000000000000"/>
            </w:pPr>
            <w:r>
              <w:t>Complete Cash Requests on GMS to balance $0</w:t>
            </w:r>
            <w:r w:rsidR="00662B69">
              <w:t>.</w:t>
            </w:r>
          </w:p>
        </w:tc>
      </w:tr>
      <w:bookmarkStart w:id="3" w:name="Check4"/>
      <w:tr w:rsidR="002C3516" w:rsidTr="008C2C5C">
        <w:trPr>
          <w:cnfStyle w:val="000000100000"/>
          <w:tblCellSpacing w:w="14" w:type="dxa"/>
        </w:trPr>
        <w:tc>
          <w:tcPr>
            <w:cnfStyle w:val="001000000000"/>
            <w:tcW w:w="1901" w:type="dxa"/>
          </w:tcPr>
          <w:p w:rsidR="002C3516" w:rsidRDefault="003A7234" w:rsidP="00F87D61">
            <w:pPr>
              <w:spacing w:line="360" w:lineRule="auto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1A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8148" w:type="dxa"/>
          </w:tcPr>
          <w:p w:rsidR="002C3516" w:rsidRDefault="0069053C" w:rsidP="00F87D61">
            <w:pPr>
              <w:spacing w:line="360" w:lineRule="auto"/>
              <w:cnfStyle w:val="000000100000"/>
            </w:pPr>
            <w:r>
              <w:t>Pay all fiscal obligation</w:t>
            </w:r>
            <w:r w:rsidR="00007336">
              <w:t xml:space="preserve">s by </w:t>
            </w:r>
            <w:r w:rsidR="005A0E5B">
              <w:t>February 1</w:t>
            </w:r>
            <w:r w:rsidR="006B2728">
              <w:t>, 2014</w:t>
            </w:r>
            <w:r w:rsidR="00662B69">
              <w:t>.</w:t>
            </w:r>
          </w:p>
        </w:tc>
      </w:tr>
      <w:bookmarkStart w:id="4" w:name="Check5"/>
      <w:tr w:rsidR="002C3516" w:rsidTr="008C2C5C">
        <w:trPr>
          <w:tblCellSpacing w:w="14" w:type="dxa"/>
        </w:trPr>
        <w:tc>
          <w:tcPr>
            <w:cnfStyle w:val="001000000000"/>
            <w:tcW w:w="1901" w:type="dxa"/>
          </w:tcPr>
          <w:p w:rsidR="002C3516" w:rsidRDefault="003A7234" w:rsidP="00F87D61">
            <w:pPr>
              <w:spacing w:line="360" w:lineRule="auto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056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8148" w:type="dxa"/>
          </w:tcPr>
          <w:p w:rsidR="002C3516" w:rsidRDefault="0069053C" w:rsidP="00007336">
            <w:pPr>
              <w:cnfStyle w:val="000000000000"/>
            </w:pPr>
            <w:r>
              <w:t>Ensure student database has complete WISER, WISE teacher id, teacher name, center</w:t>
            </w:r>
            <w:r w:rsidR="006B2728">
              <w:t xml:space="preserve"> name </w:t>
            </w:r>
            <w:proofErr w:type="gramStart"/>
            <w:r w:rsidR="006B2728">
              <w:t xml:space="preserve">and </w:t>
            </w:r>
            <w:r>
              <w:t xml:space="preserve"> ID</w:t>
            </w:r>
            <w:proofErr w:type="gramEnd"/>
            <w:r>
              <w:t xml:space="preserve"> </w:t>
            </w:r>
            <w:r w:rsidR="00A2542F">
              <w:t>from Fusion, grade, and school and attendance totals for summer and school year.</w:t>
            </w:r>
          </w:p>
        </w:tc>
      </w:tr>
      <w:bookmarkStart w:id="5" w:name="Check6"/>
      <w:tr w:rsidR="002C3516" w:rsidTr="008C2C5C">
        <w:trPr>
          <w:cnfStyle w:val="000000100000"/>
          <w:tblCellSpacing w:w="14" w:type="dxa"/>
        </w:trPr>
        <w:tc>
          <w:tcPr>
            <w:cnfStyle w:val="001000000000"/>
            <w:tcW w:w="1901" w:type="dxa"/>
          </w:tcPr>
          <w:p w:rsidR="002C3516" w:rsidRDefault="003A7234" w:rsidP="00F87D61">
            <w:pPr>
              <w:spacing w:line="360" w:lineRule="auto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1A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8148" w:type="dxa"/>
          </w:tcPr>
          <w:p w:rsidR="002C3516" w:rsidRDefault="0069053C" w:rsidP="00007336">
            <w:pPr>
              <w:cnfStyle w:val="000000100000"/>
            </w:pPr>
            <w:r>
              <w:t xml:space="preserve">Distribute teacher surveys to teachers of potential 30+ day students by November </w:t>
            </w:r>
            <w:r w:rsidR="00007336">
              <w:t>15 and</w:t>
            </w:r>
            <w:r w:rsidR="006B2728">
              <w:t xml:space="preserve"> collect by December 15</w:t>
            </w:r>
            <w:r>
              <w:t>.</w:t>
            </w:r>
          </w:p>
        </w:tc>
      </w:tr>
      <w:bookmarkStart w:id="6" w:name="Check7"/>
      <w:tr w:rsidR="002C3516" w:rsidTr="008C2C5C">
        <w:trPr>
          <w:tblCellSpacing w:w="14" w:type="dxa"/>
        </w:trPr>
        <w:tc>
          <w:tcPr>
            <w:cnfStyle w:val="001000000000"/>
            <w:tcW w:w="1901" w:type="dxa"/>
          </w:tcPr>
          <w:p w:rsidR="002C3516" w:rsidRDefault="003A7234" w:rsidP="00F87D61">
            <w:pPr>
              <w:spacing w:line="360" w:lineRule="auto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1A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8148" w:type="dxa"/>
          </w:tcPr>
          <w:p w:rsidR="002C3516" w:rsidRDefault="005A0E5B" w:rsidP="00F87D61">
            <w:pPr>
              <w:spacing w:line="360" w:lineRule="auto"/>
              <w:cnfStyle w:val="000000000000"/>
            </w:pPr>
            <w:r>
              <w:t>Complete program evaluation</w:t>
            </w:r>
            <w:r w:rsidR="006B2728">
              <w:t xml:space="preserve"> activities by December 10, 2013</w:t>
            </w:r>
            <w:r>
              <w:t>.</w:t>
            </w:r>
          </w:p>
        </w:tc>
      </w:tr>
      <w:bookmarkStart w:id="7" w:name="Check8"/>
      <w:tr w:rsidR="002C3516" w:rsidTr="008C2C5C">
        <w:trPr>
          <w:cnfStyle w:val="000000100000"/>
          <w:tblCellSpacing w:w="14" w:type="dxa"/>
        </w:trPr>
        <w:tc>
          <w:tcPr>
            <w:cnfStyle w:val="001000000000"/>
            <w:tcW w:w="1901" w:type="dxa"/>
          </w:tcPr>
          <w:p w:rsidR="002C3516" w:rsidRDefault="003A7234" w:rsidP="00F87D61">
            <w:pPr>
              <w:spacing w:line="360" w:lineRule="auto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1A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8148" w:type="dxa"/>
          </w:tcPr>
          <w:p w:rsidR="002C3516" w:rsidRDefault="0069053C" w:rsidP="00007336">
            <w:pPr>
              <w:cnfStyle w:val="000000100000"/>
            </w:pPr>
            <w:r>
              <w:t>Notify food service or nutrition services about programs changes or center closings</w:t>
            </w:r>
            <w:r w:rsidR="00007336">
              <w:t xml:space="preserve"> as soon as appropriate.</w:t>
            </w:r>
          </w:p>
        </w:tc>
      </w:tr>
      <w:bookmarkStart w:id="8" w:name="Check9"/>
      <w:tr w:rsidR="002C3516" w:rsidTr="008C2C5C">
        <w:trPr>
          <w:tblCellSpacing w:w="14" w:type="dxa"/>
        </w:trPr>
        <w:tc>
          <w:tcPr>
            <w:cnfStyle w:val="001000000000"/>
            <w:tcW w:w="1901" w:type="dxa"/>
          </w:tcPr>
          <w:p w:rsidR="002C3516" w:rsidRDefault="003A7234" w:rsidP="00F87D61">
            <w:pPr>
              <w:spacing w:line="360" w:lineRule="auto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1A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8148" w:type="dxa"/>
          </w:tcPr>
          <w:p w:rsidR="002C3516" w:rsidRDefault="00770563" w:rsidP="00F87D61">
            <w:pPr>
              <w:spacing w:line="360" w:lineRule="auto"/>
              <w:cnfStyle w:val="000000000000"/>
            </w:pPr>
            <w:r>
              <w:t xml:space="preserve">Notify constituents of program changes via information dissemination plan in grant. </w:t>
            </w:r>
          </w:p>
        </w:tc>
      </w:tr>
      <w:bookmarkStart w:id="9" w:name="Check10"/>
      <w:tr w:rsidR="002C3516" w:rsidTr="008C2C5C">
        <w:trPr>
          <w:cnfStyle w:val="000000100000"/>
          <w:tblCellSpacing w:w="14" w:type="dxa"/>
        </w:trPr>
        <w:tc>
          <w:tcPr>
            <w:cnfStyle w:val="001000000000"/>
            <w:tcW w:w="1901" w:type="dxa"/>
          </w:tcPr>
          <w:p w:rsidR="002C3516" w:rsidRDefault="003A7234" w:rsidP="00F87D61">
            <w:pPr>
              <w:spacing w:line="360" w:lineRule="auto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1A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8148" w:type="dxa"/>
          </w:tcPr>
          <w:p w:rsidR="002C3516" w:rsidRDefault="00662B69" w:rsidP="00662B69">
            <w:pPr>
              <w:cnfStyle w:val="000000100000"/>
            </w:pPr>
            <w:r>
              <w:t>Submit sustainability plan template, paper teacher surveys, and copies of constituent notifications by December 15.</w:t>
            </w:r>
          </w:p>
        </w:tc>
      </w:tr>
      <w:tr w:rsidR="00770563" w:rsidTr="008C2C5C">
        <w:trPr>
          <w:tblCellSpacing w:w="14" w:type="dxa"/>
        </w:trPr>
        <w:tc>
          <w:tcPr>
            <w:cnfStyle w:val="001000000000"/>
            <w:tcW w:w="1901" w:type="dxa"/>
          </w:tcPr>
          <w:p w:rsidR="00770563" w:rsidRDefault="003A7234" w:rsidP="00F87D61">
            <w:pPr>
              <w:spacing w:line="360" w:lineRule="auto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056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148" w:type="dxa"/>
          </w:tcPr>
          <w:p w:rsidR="00770563" w:rsidRDefault="005A0E5B" w:rsidP="005A0E5B">
            <w:pPr>
              <w:cnfStyle w:val="000000000000"/>
            </w:pPr>
            <w:r>
              <w:t xml:space="preserve">Submit </w:t>
            </w:r>
            <w:proofErr w:type="spellStart"/>
            <w:r>
              <w:t>WISERids</w:t>
            </w:r>
            <w:proofErr w:type="spellEnd"/>
            <w:r>
              <w:t xml:space="preserve"> for participants by center and </w:t>
            </w:r>
            <w:proofErr w:type="spellStart"/>
            <w:r>
              <w:t>WISERids</w:t>
            </w:r>
            <w:proofErr w:type="spellEnd"/>
            <w:r>
              <w:t xml:space="preserve"> for 30+ attendees with attendance data and WISE teacher ID match for Fu</w:t>
            </w:r>
            <w:r w:rsidR="006B2728">
              <w:t>sion upload by December 15, 2013</w:t>
            </w:r>
            <w:r>
              <w:t>.</w:t>
            </w:r>
          </w:p>
        </w:tc>
      </w:tr>
      <w:bookmarkStart w:id="10" w:name="Check11"/>
      <w:tr w:rsidR="002C3516" w:rsidTr="008C2C5C">
        <w:trPr>
          <w:cnfStyle w:val="000000100000"/>
          <w:tblCellSpacing w:w="14" w:type="dxa"/>
        </w:trPr>
        <w:tc>
          <w:tcPr>
            <w:cnfStyle w:val="001000000000"/>
            <w:tcW w:w="1901" w:type="dxa"/>
          </w:tcPr>
          <w:p w:rsidR="002C3516" w:rsidRDefault="003A7234" w:rsidP="00F87D61">
            <w:pPr>
              <w:spacing w:line="360" w:lineRule="auto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1A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8148" w:type="dxa"/>
          </w:tcPr>
          <w:p w:rsidR="002C3516" w:rsidRDefault="005A0E5B" w:rsidP="00770563">
            <w:pPr>
              <w:cnfStyle w:val="000000100000"/>
            </w:pPr>
            <w:r>
              <w:t>Set up finalization meeting with fiscal agents and district partners as necessary throughout the process.</w:t>
            </w:r>
          </w:p>
        </w:tc>
      </w:tr>
      <w:bookmarkStart w:id="11" w:name="Check12"/>
      <w:tr w:rsidR="002C3516" w:rsidTr="008C2C5C">
        <w:trPr>
          <w:tblCellSpacing w:w="14" w:type="dxa"/>
        </w:trPr>
        <w:tc>
          <w:tcPr>
            <w:cnfStyle w:val="001000000000"/>
            <w:tcW w:w="1901" w:type="dxa"/>
          </w:tcPr>
          <w:p w:rsidR="002C3516" w:rsidRDefault="003A7234" w:rsidP="00F87D61">
            <w:pPr>
              <w:spacing w:line="360" w:lineRule="auto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1A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8148" w:type="dxa"/>
          </w:tcPr>
          <w:p w:rsidR="002C3516" w:rsidRDefault="00770563" w:rsidP="005A0E5B">
            <w:pPr>
              <w:spacing w:line="360" w:lineRule="auto"/>
              <w:cnfStyle w:val="000000000000"/>
            </w:pPr>
            <w:r>
              <w:t>APR Questionnaire for</w:t>
            </w:r>
            <w:r w:rsidR="006B2728">
              <w:t xml:space="preserve"> June 2013 through December 2013</w:t>
            </w:r>
            <w:r>
              <w:t xml:space="preserve"> due by </w:t>
            </w:r>
            <w:r w:rsidR="006B2728">
              <w:t>December 31, 2013</w:t>
            </w:r>
            <w:r w:rsidR="005A0E5B">
              <w:t>.</w:t>
            </w:r>
          </w:p>
        </w:tc>
      </w:tr>
      <w:bookmarkStart w:id="12" w:name="Check13"/>
      <w:tr w:rsidR="002C3516" w:rsidTr="008C2C5C">
        <w:trPr>
          <w:cnfStyle w:val="000000100000"/>
          <w:tblCellSpacing w:w="14" w:type="dxa"/>
        </w:trPr>
        <w:tc>
          <w:tcPr>
            <w:cnfStyle w:val="001000000000"/>
            <w:tcW w:w="1901" w:type="dxa"/>
          </w:tcPr>
          <w:p w:rsidR="002C3516" w:rsidRDefault="003A7234" w:rsidP="00F87D61">
            <w:pPr>
              <w:spacing w:line="360" w:lineRule="auto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1A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8148" w:type="dxa"/>
          </w:tcPr>
          <w:p w:rsidR="002C3516" w:rsidRDefault="005A0E5B" w:rsidP="00F87D61">
            <w:pPr>
              <w:spacing w:line="360" w:lineRule="auto"/>
              <w:cnfStyle w:val="000000100000"/>
            </w:pPr>
            <w:r>
              <w:t>Year-end Report and all program evaluation i</w:t>
            </w:r>
            <w:r w:rsidR="006B2728">
              <w:t>nformation due December 31, 2013</w:t>
            </w:r>
            <w:r>
              <w:t>.</w:t>
            </w:r>
          </w:p>
        </w:tc>
      </w:tr>
      <w:bookmarkStart w:id="13" w:name="Check14"/>
      <w:tr w:rsidR="002C3516" w:rsidTr="008C2C5C">
        <w:trPr>
          <w:tblCellSpacing w:w="14" w:type="dxa"/>
        </w:trPr>
        <w:tc>
          <w:tcPr>
            <w:cnfStyle w:val="001000000000"/>
            <w:tcW w:w="1901" w:type="dxa"/>
          </w:tcPr>
          <w:p w:rsidR="002C3516" w:rsidRDefault="003A7234" w:rsidP="00F87D61">
            <w:pPr>
              <w:spacing w:line="360" w:lineRule="auto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1A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8148" w:type="dxa"/>
          </w:tcPr>
          <w:p w:rsidR="002C3516" w:rsidRPr="00A2542F" w:rsidRDefault="0069053C" w:rsidP="00A2542F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69053C">
              <w:rPr>
                <w:sz w:val="24"/>
                <w:szCs w:val="24"/>
              </w:rPr>
              <w:t>inal inventory of all equipment and the disposition plans</w:t>
            </w:r>
            <w:r w:rsidR="00A2542F">
              <w:rPr>
                <w:sz w:val="24"/>
                <w:szCs w:val="24"/>
              </w:rPr>
              <w:t xml:space="preserve"> submitted</w:t>
            </w:r>
            <w:r w:rsidR="006B2728">
              <w:rPr>
                <w:sz w:val="24"/>
                <w:szCs w:val="24"/>
              </w:rPr>
              <w:t xml:space="preserve"> no later than February 28, 2014 unless an extension is granted.</w:t>
            </w:r>
          </w:p>
        </w:tc>
      </w:tr>
      <w:bookmarkStart w:id="14" w:name="Check15"/>
      <w:tr w:rsidR="002C3516" w:rsidTr="008C2C5C">
        <w:trPr>
          <w:cnfStyle w:val="000000100000"/>
          <w:tblCellSpacing w:w="14" w:type="dxa"/>
        </w:trPr>
        <w:tc>
          <w:tcPr>
            <w:cnfStyle w:val="001000000000"/>
            <w:tcW w:w="1901" w:type="dxa"/>
          </w:tcPr>
          <w:p w:rsidR="002C3516" w:rsidRDefault="003A7234" w:rsidP="00F87D61">
            <w:pPr>
              <w:spacing w:line="360" w:lineRule="auto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1A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8148" w:type="dxa"/>
          </w:tcPr>
          <w:p w:rsidR="002C3516" w:rsidRDefault="0069053C" w:rsidP="00F87D61">
            <w:pPr>
              <w:spacing w:line="360" w:lineRule="auto"/>
              <w:cnfStyle w:val="000000100000"/>
            </w:pPr>
            <w:r>
              <w:t>All fiscal oblig</w:t>
            </w:r>
            <w:r w:rsidR="006B2728">
              <w:t>ations paid by February 28, 2014</w:t>
            </w:r>
            <w:r w:rsidR="006B2728">
              <w:rPr>
                <w:sz w:val="24"/>
                <w:szCs w:val="24"/>
              </w:rPr>
              <w:t xml:space="preserve"> unless an extension is granted.</w:t>
            </w:r>
          </w:p>
        </w:tc>
      </w:tr>
      <w:tr w:rsidR="002C3516" w:rsidTr="008C2C5C">
        <w:trPr>
          <w:tblCellSpacing w:w="14" w:type="dxa"/>
        </w:trPr>
        <w:tc>
          <w:tcPr>
            <w:cnfStyle w:val="001000000000"/>
            <w:tcW w:w="1901" w:type="dxa"/>
          </w:tcPr>
          <w:p w:rsidR="002C3516" w:rsidRDefault="003A7234" w:rsidP="00F87D61">
            <w:pPr>
              <w:spacing w:line="360" w:lineRule="auto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1301A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8148" w:type="dxa"/>
          </w:tcPr>
          <w:p w:rsidR="002C3516" w:rsidRDefault="00007336" w:rsidP="00F87D61">
            <w:pPr>
              <w:spacing w:line="360" w:lineRule="auto"/>
              <w:cnfStyle w:val="000000000000"/>
            </w:pPr>
            <w:r>
              <w:t>Final PER submitted by February 15 a</w:t>
            </w:r>
            <w:r w:rsidR="006B2728">
              <w:t>nd approved by February 28, 2014</w:t>
            </w:r>
            <w:r w:rsidR="006B2728">
              <w:rPr>
                <w:sz w:val="24"/>
                <w:szCs w:val="24"/>
              </w:rPr>
              <w:t xml:space="preserve"> unless an extension is granted.</w:t>
            </w:r>
          </w:p>
        </w:tc>
      </w:tr>
    </w:tbl>
    <w:p w:rsidR="00112AAB" w:rsidRDefault="00112AAB" w:rsidP="006B101E">
      <w:pPr>
        <w:spacing w:line="240" w:lineRule="auto"/>
      </w:pPr>
    </w:p>
    <w:p w:rsidR="00112AAB" w:rsidRDefault="002C5CF3" w:rsidP="006B2728">
      <w:pPr>
        <w:spacing w:after="0" w:line="240" w:lineRule="auto"/>
      </w:pPr>
      <w:r>
        <w:t xml:space="preserve">_________________________________                 </w:t>
      </w:r>
      <w:r>
        <w:tab/>
        <w:t xml:space="preserve">      _________________</w:t>
      </w:r>
    </w:p>
    <w:p w:rsidR="008C2C5C" w:rsidRDefault="002C5CF3" w:rsidP="006B2728">
      <w:pPr>
        <w:spacing w:after="0" w:line="240" w:lineRule="auto"/>
      </w:pPr>
      <w:r>
        <w:t>21</w:t>
      </w:r>
      <w:r w:rsidRPr="002C5CF3">
        <w:rPr>
          <w:vertAlign w:val="superscript"/>
        </w:rPr>
        <w:t>st</w:t>
      </w:r>
      <w:r>
        <w:t xml:space="preserve"> CCLC Project Coordinator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6B2728" w:rsidRDefault="006B2728" w:rsidP="006B2728">
      <w:pPr>
        <w:spacing w:after="0" w:line="240" w:lineRule="auto"/>
      </w:pPr>
    </w:p>
    <w:p w:rsidR="008C2C5C" w:rsidRDefault="002C5CF3" w:rsidP="006B2728">
      <w:pPr>
        <w:spacing w:after="0" w:line="240" w:lineRule="auto"/>
      </w:pPr>
      <w:r>
        <w:t xml:space="preserve">_________________________________                      </w:t>
      </w:r>
      <w:r>
        <w:tab/>
        <w:t xml:space="preserve">     _________________</w:t>
      </w:r>
    </w:p>
    <w:p w:rsidR="002C5CF3" w:rsidRDefault="002C5CF3" w:rsidP="006B2728">
      <w:pPr>
        <w:spacing w:after="0" w:line="240" w:lineRule="auto"/>
      </w:pPr>
      <w:r>
        <w:t>Business Manager or Fiscal Agent Representative</w:t>
      </w:r>
      <w:r>
        <w:tab/>
      </w:r>
      <w:r>
        <w:tab/>
        <w:t>Date</w:t>
      </w:r>
    </w:p>
    <w:p w:rsidR="006B2728" w:rsidRDefault="006B2728" w:rsidP="006B2728">
      <w:pPr>
        <w:spacing w:after="0" w:line="240" w:lineRule="auto"/>
      </w:pPr>
    </w:p>
    <w:p w:rsidR="002C5CF3" w:rsidRDefault="002C5CF3" w:rsidP="006B2728">
      <w:pPr>
        <w:spacing w:after="0" w:line="240" w:lineRule="auto"/>
      </w:pPr>
      <w:r>
        <w:t xml:space="preserve">________________________________                      </w:t>
      </w:r>
      <w:r w:rsidR="002C3516">
        <w:tab/>
        <w:t xml:space="preserve">     </w:t>
      </w:r>
      <w:r>
        <w:t>_________________</w:t>
      </w:r>
    </w:p>
    <w:p w:rsidR="00575178" w:rsidRPr="008C2C5C" w:rsidRDefault="002C3516" w:rsidP="008C2C5C">
      <w:pPr>
        <w:spacing w:line="240" w:lineRule="auto"/>
      </w:pPr>
      <w:r>
        <w:t xml:space="preserve">Superintendent or Organizational Director       </w:t>
      </w:r>
      <w:r>
        <w:tab/>
      </w:r>
      <w:r>
        <w:tab/>
      </w:r>
      <w:r>
        <w:tab/>
        <w:t>Date</w:t>
      </w:r>
    </w:p>
    <w:sectPr w:rsidR="00575178" w:rsidRPr="008C2C5C" w:rsidSect="006B2728">
      <w:headerReference w:type="default" r:id="rId9"/>
      <w:pgSz w:w="12240" w:h="15840"/>
      <w:pgMar w:top="990" w:right="1440" w:bottom="126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911" w:rsidRDefault="00306911" w:rsidP="00B56819">
      <w:pPr>
        <w:spacing w:after="0" w:line="240" w:lineRule="auto"/>
      </w:pPr>
      <w:r>
        <w:separator/>
      </w:r>
    </w:p>
  </w:endnote>
  <w:endnote w:type="continuationSeparator" w:id="0">
    <w:p w:rsidR="00306911" w:rsidRDefault="00306911" w:rsidP="00B56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911" w:rsidRDefault="00306911" w:rsidP="00B56819">
      <w:pPr>
        <w:spacing w:after="0" w:line="240" w:lineRule="auto"/>
      </w:pPr>
      <w:r>
        <w:separator/>
      </w:r>
    </w:p>
  </w:footnote>
  <w:footnote w:type="continuationSeparator" w:id="0">
    <w:p w:rsidR="00306911" w:rsidRDefault="00306911" w:rsidP="00B56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250" w:type="pct"/>
      <w:tblLook w:val="04A0"/>
    </w:tblPr>
    <w:tblGrid>
      <w:gridCol w:w="8140"/>
    </w:tblGrid>
    <w:tr w:rsidR="00B56819" w:rsidTr="00B56819">
      <w:trPr>
        <w:trHeight w:val="475"/>
      </w:trPr>
      <w:sdt>
        <w:sdtPr>
          <w:rPr>
            <w:sz w:val="28"/>
            <w:szCs w:val="28"/>
          </w:rPr>
          <w:alias w:val="Title"/>
          <w:id w:val="78223368"/>
          <w:placeholder>
            <w:docPart w:val="3A6DD6EA7E9244529735ABCF787D421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5000" w:type="pct"/>
              <w:shd w:val="clear" w:color="auto" w:fill="8064A2" w:themeFill="accent4"/>
              <w:vAlign w:val="center"/>
            </w:tcPr>
            <w:p w:rsidR="00B56819" w:rsidRDefault="00765A3B">
              <w:pPr>
                <w:pStyle w:val="Header"/>
                <w:rPr>
                  <w:caps/>
                  <w:color w:val="FFFFFF" w:themeColor="background1"/>
                </w:rPr>
              </w:pPr>
              <w:r>
                <w:rPr>
                  <w:sz w:val="28"/>
                  <w:szCs w:val="28"/>
                </w:rPr>
                <w:t>Wyoming 21st Century Community Learning Centers</w:t>
              </w:r>
            </w:p>
          </w:tc>
        </w:sdtContent>
      </w:sdt>
    </w:tr>
  </w:tbl>
  <w:p w:rsidR="00B56819" w:rsidRDefault="00B568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D3121"/>
    <w:multiLevelType w:val="hybridMultilevel"/>
    <w:tmpl w:val="E3C815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733"/>
    <w:rsid w:val="00007336"/>
    <w:rsid w:val="00030D1A"/>
    <w:rsid w:val="00045180"/>
    <w:rsid w:val="000540BA"/>
    <w:rsid w:val="00112AAB"/>
    <w:rsid w:val="001301A6"/>
    <w:rsid w:val="00150975"/>
    <w:rsid w:val="001D3756"/>
    <w:rsid w:val="00270DF2"/>
    <w:rsid w:val="00293764"/>
    <w:rsid w:val="002B2B1A"/>
    <w:rsid w:val="002C30CE"/>
    <w:rsid w:val="002C3516"/>
    <w:rsid w:val="002C5CF3"/>
    <w:rsid w:val="002F6C14"/>
    <w:rsid w:val="00303FB6"/>
    <w:rsid w:val="00306911"/>
    <w:rsid w:val="00314B49"/>
    <w:rsid w:val="0034202C"/>
    <w:rsid w:val="00372A14"/>
    <w:rsid w:val="003A7234"/>
    <w:rsid w:val="003B37D6"/>
    <w:rsid w:val="003D00DC"/>
    <w:rsid w:val="003E081C"/>
    <w:rsid w:val="00432171"/>
    <w:rsid w:val="0045119F"/>
    <w:rsid w:val="0046379E"/>
    <w:rsid w:val="00474610"/>
    <w:rsid w:val="004816EA"/>
    <w:rsid w:val="004C7DEA"/>
    <w:rsid w:val="004F06C0"/>
    <w:rsid w:val="004F5BC5"/>
    <w:rsid w:val="00502457"/>
    <w:rsid w:val="00506ABC"/>
    <w:rsid w:val="00521B5D"/>
    <w:rsid w:val="005710DB"/>
    <w:rsid w:val="00575178"/>
    <w:rsid w:val="0057703F"/>
    <w:rsid w:val="00583FFF"/>
    <w:rsid w:val="00593A7C"/>
    <w:rsid w:val="005A0E5B"/>
    <w:rsid w:val="005A4FFB"/>
    <w:rsid w:val="005F401C"/>
    <w:rsid w:val="00610CE1"/>
    <w:rsid w:val="00662B69"/>
    <w:rsid w:val="00664061"/>
    <w:rsid w:val="00674821"/>
    <w:rsid w:val="00685F7B"/>
    <w:rsid w:val="00687BB4"/>
    <w:rsid w:val="0069053C"/>
    <w:rsid w:val="006A3A6F"/>
    <w:rsid w:val="006B101E"/>
    <w:rsid w:val="006B2728"/>
    <w:rsid w:val="006D7B06"/>
    <w:rsid w:val="006E520E"/>
    <w:rsid w:val="00765A3B"/>
    <w:rsid w:val="00770563"/>
    <w:rsid w:val="0078663E"/>
    <w:rsid w:val="00861BA9"/>
    <w:rsid w:val="008C2C5C"/>
    <w:rsid w:val="00904EA4"/>
    <w:rsid w:val="00924032"/>
    <w:rsid w:val="00986A28"/>
    <w:rsid w:val="00991240"/>
    <w:rsid w:val="009E1301"/>
    <w:rsid w:val="00A1350D"/>
    <w:rsid w:val="00A2542F"/>
    <w:rsid w:val="00A3344B"/>
    <w:rsid w:val="00A53DE6"/>
    <w:rsid w:val="00B56819"/>
    <w:rsid w:val="00BA2315"/>
    <w:rsid w:val="00BD5739"/>
    <w:rsid w:val="00C178EC"/>
    <w:rsid w:val="00CC617B"/>
    <w:rsid w:val="00CF55DA"/>
    <w:rsid w:val="00CF5DB8"/>
    <w:rsid w:val="00D10639"/>
    <w:rsid w:val="00D97DD9"/>
    <w:rsid w:val="00DA0401"/>
    <w:rsid w:val="00DC3F4C"/>
    <w:rsid w:val="00DE2733"/>
    <w:rsid w:val="00DF751A"/>
    <w:rsid w:val="00E12775"/>
    <w:rsid w:val="00E53543"/>
    <w:rsid w:val="00E72081"/>
    <w:rsid w:val="00EC7054"/>
    <w:rsid w:val="00F87D61"/>
    <w:rsid w:val="00FA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0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101E"/>
    <w:pPr>
      <w:ind w:left="720"/>
      <w:contextualSpacing/>
    </w:pPr>
  </w:style>
  <w:style w:type="table" w:styleId="MediumList2-Accent1">
    <w:name w:val="Medium List 2 Accent 1"/>
    <w:basedOn w:val="TableNormal"/>
    <w:uiPriority w:val="66"/>
    <w:rsid w:val="00112AA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List-Accent4">
    <w:name w:val="Colorful List Accent 4"/>
    <w:basedOn w:val="TableNormal"/>
    <w:uiPriority w:val="72"/>
    <w:rsid w:val="00112AA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3">
    <w:name w:val="Colorful List Accent 3"/>
    <w:basedOn w:val="TableNormal"/>
    <w:uiPriority w:val="72"/>
    <w:rsid w:val="00112AA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1">
    <w:name w:val="Colorful List Accent 1"/>
    <w:basedOn w:val="TableNormal"/>
    <w:uiPriority w:val="72"/>
    <w:rsid w:val="00112AA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Grid">
    <w:name w:val="Table Grid"/>
    <w:basedOn w:val="TableNormal"/>
    <w:uiPriority w:val="59"/>
    <w:rsid w:val="002C5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2">
    <w:name w:val="Colorful List Accent 2"/>
    <w:basedOn w:val="TableNormal"/>
    <w:uiPriority w:val="72"/>
    <w:rsid w:val="002C351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">
    <w:name w:val="Colorful List"/>
    <w:basedOn w:val="TableNormal"/>
    <w:uiPriority w:val="72"/>
    <w:rsid w:val="002C351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6">
    <w:name w:val="Colorful List Accent 6"/>
    <w:basedOn w:val="TableNormal"/>
    <w:uiPriority w:val="72"/>
    <w:rsid w:val="002C351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-Accent1">
    <w:name w:val="Colorful Grid Accent 1"/>
    <w:basedOn w:val="TableNormal"/>
    <w:uiPriority w:val="73"/>
    <w:rsid w:val="002C351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2C351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B56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819"/>
  </w:style>
  <w:style w:type="paragraph" w:styleId="Footer">
    <w:name w:val="footer"/>
    <w:basedOn w:val="Normal"/>
    <w:link w:val="FooterChar"/>
    <w:uiPriority w:val="99"/>
    <w:semiHidden/>
    <w:unhideWhenUsed/>
    <w:rsid w:val="00B56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819"/>
  </w:style>
  <w:style w:type="paragraph" w:styleId="BalloonText">
    <w:name w:val="Balloon Text"/>
    <w:basedOn w:val="Normal"/>
    <w:link w:val="BalloonTextChar"/>
    <w:uiPriority w:val="99"/>
    <w:semiHidden/>
    <w:unhideWhenUsed/>
    <w:rsid w:val="00B56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bierhaus@wyo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ierh\Documents\Cohort%204%20and%20Supplemental%20Funds%20Closure%20Activities%20201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A6DD6EA7E9244529735ABCF787D4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301A3-4A1A-4C99-A35F-661726CB51BC}"/>
      </w:docPartPr>
      <w:docPartBody>
        <w:p w:rsidR="002822CE" w:rsidRDefault="00D86E74">
          <w:pPr>
            <w:pStyle w:val="3A6DD6EA7E9244529735ABCF787D4215"/>
          </w:pPr>
          <w:r>
            <w:rPr>
              <w:caps/>
              <w:color w:val="FFFFFF" w:themeColor="background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86E74"/>
    <w:rsid w:val="001259A5"/>
    <w:rsid w:val="002822CE"/>
    <w:rsid w:val="0059105F"/>
    <w:rsid w:val="00D8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6DD6EA7E9244529735ABCF787D4215">
    <w:name w:val="3A6DD6EA7E9244529735ABCF787D4215"/>
    <w:rsid w:val="002822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Cohort 4 and Supplemental Funds Closure Activities 2012</Template>
  <TotalTime>107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Wyoming 21st Century Community Learning Centers</vt:lpstr>
    </vt:vector>
  </TitlesOfParts>
  <Company>Department of Education</Company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Wyoming 21st Century Community Learning Centers</dc:title>
  <dc:creator>Karen Bierhaus</dc:creator>
  <cp:lastModifiedBy>Karen Bierhaus</cp:lastModifiedBy>
  <cp:revision>3</cp:revision>
  <cp:lastPrinted>2013-07-26T14:42:00Z</cp:lastPrinted>
  <dcterms:created xsi:type="dcterms:W3CDTF">2013-06-12T14:55:00Z</dcterms:created>
  <dcterms:modified xsi:type="dcterms:W3CDTF">2013-07-26T15:55:00Z</dcterms:modified>
</cp:coreProperties>
</file>