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862EA7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613738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205">
        <w:rPr>
          <w:sz w:val="24"/>
          <w:szCs w:val="24"/>
        </w:rPr>
        <w:tab/>
        <w:t>April 15, 2011</w:t>
      </w:r>
      <w:r>
        <w:rPr>
          <w:sz w:val="24"/>
          <w:szCs w:val="24"/>
        </w:rPr>
        <w:tab/>
      </w:r>
    </w:p>
    <w:p w:rsidR="00701C92" w:rsidRPr="00701C92" w:rsidRDefault="00701C92" w:rsidP="008A78E8">
      <w:pPr>
        <w:rPr>
          <w:sz w:val="24"/>
          <w:szCs w:val="24"/>
        </w:rPr>
      </w:pPr>
    </w:p>
    <w:p w:rsidR="00701C92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C2205">
        <w:rPr>
          <w:sz w:val="24"/>
          <w:szCs w:val="24"/>
        </w:rPr>
        <w:t>SP 30-2011; TA 03-2011</w:t>
      </w:r>
    </w:p>
    <w:p w:rsidR="00701C92" w:rsidRPr="00701C92" w:rsidRDefault="00701C92" w:rsidP="008A78E8">
      <w:pPr>
        <w:rPr>
          <w:sz w:val="24"/>
          <w:szCs w:val="24"/>
        </w:rPr>
      </w:pPr>
    </w:p>
    <w:p w:rsidR="00701C92" w:rsidRPr="00701C92" w:rsidRDefault="00701C92" w:rsidP="00E23DD7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OLE_LINK2"/>
      <w:bookmarkStart w:id="1" w:name="OLE_LINK1"/>
      <w:r w:rsidR="004D6D38" w:rsidRPr="004D6D38">
        <w:rPr>
          <w:sz w:val="24"/>
          <w:szCs w:val="24"/>
        </w:rPr>
        <w:t>Child Nutrition Database</w:t>
      </w:r>
      <w:bookmarkEnd w:id="0"/>
      <w:bookmarkEnd w:id="1"/>
      <w:r w:rsidR="004D6D38" w:rsidRPr="004D6D38">
        <w:rPr>
          <w:sz w:val="24"/>
          <w:szCs w:val="24"/>
        </w:rPr>
        <w:t xml:space="preserve"> Release 1</w:t>
      </w:r>
      <w:r w:rsidR="004D6D38">
        <w:rPr>
          <w:sz w:val="24"/>
          <w:szCs w:val="24"/>
        </w:rPr>
        <w:t>5</w:t>
      </w:r>
    </w:p>
    <w:p w:rsidR="00701C92" w:rsidRPr="00701C92" w:rsidRDefault="00701C92" w:rsidP="008A78E8">
      <w:pPr>
        <w:rPr>
          <w:sz w:val="24"/>
          <w:szCs w:val="24"/>
        </w:rPr>
      </w:pPr>
    </w:p>
    <w:p w:rsidR="001A63D7" w:rsidRDefault="00701C92" w:rsidP="00701C92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3D7">
        <w:rPr>
          <w:sz w:val="24"/>
          <w:szCs w:val="24"/>
        </w:rPr>
        <w:t>Regional Directors</w:t>
      </w:r>
    </w:p>
    <w:p w:rsidR="00701C92" w:rsidRPr="00701C92" w:rsidRDefault="001A63D7" w:rsidP="00701C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C92" w:rsidRPr="00701C92">
        <w:rPr>
          <w:sz w:val="24"/>
          <w:szCs w:val="24"/>
        </w:rPr>
        <w:t>Special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Regions</w:t>
      </w:r>
      <w:r w:rsidRPr="00701C92">
        <w:rPr>
          <w:sz w:val="24"/>
          <w:szCs w:val="24"/>
        </w:rPr>
        <w:br/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State Directors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Child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States</w:t>
      </w:r>
    </w:p>
    <w:p w:rsidR="00701C92" w:rsidRDefault="00701C92" w:rsidP="00903EE4">
      <w:pPr>
        <w:pStyle w:val="NormalWeb"/>
        <w:spacing w:before="0" w:beforeAutospacing="0" w:after="0" w:afterAutospacing="0"/>
      </w:pPr>
    </w:p>
    <w:p w:rsidR="00440516" w:rsidRDefault="00440516" w:rsidP="00903EE4">
      <w:pPr>
        <w:pStyle w:val="NormalWeb"/>
        <w:spacing w:before="0" w:beforeAutospacing="0" w:after="0" w:afterAutospacing="0"/>
      </w:pPr>
      <w:r w:rsidRPr="00342A0A">
        <w:t>The Child Nutrition Database</w:t>
      </w:r>
      <w:r>
        <w:t xml:space="preserve"> Release 15</w:t>
      </w:r>
      <w:r w:rsidRPr="00342A0A">
        <w:t xml:space="preserve"> (CN</w:t>
      </w:r>
      <w:r>
        <w:t>15</w:t>
      </w:r>
      <w:r w:rsidRPr="00342A0A">
        <w:t>) was made available</w:t>
      </w:r>
      <w:r>
        <w:t xml:space="preserve"> at the Healthy Meals Resource System website</w:t>
      </w:r>
      <w:r w:rsidRPr="00342A0A">
        <w:t xml:space="preserve"> on</w:t>
      </w:r>
      <w:r>
        <w:t xml:space="preserve"> April 1</w:t>
      </w:r>
      <w:r w:rsidRPr="00342A0A">
        <w:t>, 20</w:t>
      </w:r>
      <w:r w:rsidR="009016B8">
        <w:t>11</w:t>
      </w:r>
      <w:r w:rsidR="00BC235B">
        <w:t xml:space="preserve">.  </w:t>
      </w:r>
      <w:r w:rsidR="009016B8">
        <w:t xml:space="preserve"> Computer software companies with software approved by the Department of Agriculture (USDA) for Nutrient Standard Menu Planning (NSMP) are required to update their software customers with </w:t>
      </w:r>
      <w:r w:rsidR="00D202EE">
        <w:t>CN15</w:t>
      </w:r>
      <w:r w:rsidR="00BC235B">
        <w:t xml:space="preserve">.  </w:t>
      </w:r>
      <w:r w:rsidR="00D202EE">
        <w:t xml:space="preserve"> This release</w:t>
      </w:r>
      <w:r>
        <w:t xml:space="preserve"> can be downloaded by visiting:</w:t>
      </w:r>
      <w:r w:rsidR="00BC235B">
        <w:t xml:space="preserve"> </w:t>
      </w:r>
      <w:hyperlink r:id="rId13" w:history="1">
        <w:r w:rsidRPr="00BC235B">
          <w:t>h</w:t>
        </w:r>
        <w:r w:rsidRPr="00BC235B">
          <w:t>t</w:t>
        </w:r>
        <w:r w:rsidRPr="00BC235B">
          <w:t>tp://healthym</w:t>
        </w:r>
        <w:r w:rsidRPr="00BC235B">
          <w:t>e</w:t>
        </w:r>
        <w:r w:rsidRPr="00BC235B">
          <w:t>als.nal.u</w:t>
        </w:r>
        <w:r w:rsidRPr="00BC235B">
          <w:t>s</w:t>
        </w:r>
        <w:r w:rsidRPr="00BC235B">
          <w:t>da.gov/cndatabase.html</w:t>
        </w:r>
      </w:hyperlink>
      <w:r w:rsidRPr="00E97BB6">
        <w:t>.</w:t>
      </w:r>
    </w:p>
    <w:p w:rsidR="00440516" w:rsidRDefault="00440516" w:rsidP="00D202EE">
      <w:pPr>
        <w:pStyle w:val="NormalWeb"/>
        <w:spacing w:before="0" w:beforeAutospacing="0" w:after="0" w:afterAutospacing="0"/>
      </w:pPr>
    </w:p>
    <w:p w:rsidR="00440516" w:rsidRDefault="00D202EE" w:rsidP="00440516">
      <w:pPr>
        <w:pStyle w:val="NormalWeb"/>
        <w:spacing w:before="0" w:beforeAutospacing="0" w:after="0" w:afterAutospacing="0"/>
      </w:pPr>
      <w:r>
        <w:t xml:space="preserve">The CN Database is an integral part of the nutrient analysis software approved by USDA for NSMP and other </w:t>
      </w:r>
      <w:r w:rsidR="00440516">
        <w:t>School Meal</w:t>
      </w:r>
      <w:r>
        <w:t>s Initiative requirements</w:t>
      </w:r>
      <w:r w:rsidR="00BC235B">
        <w:t xml:space="preserve">.  </w:t>
      </w:r>
      <w:r>
        <w:t xml:space="preserve"> </w:t>
      </w:r>
      <w:r w:rsidR="00440516" w:rsidRPr="00342A0A">
        <w:t>We expect</w:t>
      </w:r>
      <w:r w:rsidR="00440516">
        <w:t xml:space="preserve"> </w:t>
      </w:r>
      <w:r w:rsidR="00440516" w:rsidRPr="00342A0A">
        <w:t>software companies</w:t>
      </w:r>
      <w:r w:rsidR="00440516">
        <w:t xml:space="preserve"> with USDA-approved software</w:t>
      </w:r>
      <w:r w:rsidR="00440516" w:rsidRPr="00342A0A">
        <w:t xml:space="preserve"> to incorporate CN</w:t>
      </w:r>
      <w:r w:rsidR="00440516">
        <w:t>15</w:t>
      </w:r>
      <w:r w:rsidR="00440516" w:rsidRPr="00342A0A">
        <w:t xml:space="preserve"> into their </w:t>
      </w:r>
      <w:r w:rsidR="00440516">
        <w:t>products</w:t>
      </w:r>
      <w:r w:rsidR="00440516" w:rsidRPr="004A6696">
        <w:t xml:space="preserve"> </w:t>
      </w:r>
      <w:r w:rsidR="000818C1">
        <w:t>and to</w:t>
      </w:r>
      <w:r w:rsidR="00440516">
        <w:t xml:space="preserve"> make</w:t>
      </w:r>
      <w:r w:rsidR="00440516" w:rsidRPr="00342A0A">
        <w:t xml:space="preserve"> the new version</w:t>
      </w:r>
      <w:r w:rsidR="00440516">
        <w:t xml:space="preserve"> </w:t>
      </w:r>
      <w:r w:rsidR="000818C1">
        <w:t xml:space="preserve">of the software </w:t>
      </w:r>
      <w:r w:rsidR="00440516">
        <w:t xml:space="preserve">available to current users </w:t>
      </w:r>
      <w:r w:rsidR="00440516">
        <w:rPr>
          <w:u w:val="single"/>
        </w:rPr>
        <w:t>no later than Ju</w:t>
      </w:r>
      <w:r w:rsidR="000818C1">
        <w:rPr>
          <w:u w:val="single"/>
        </w:rPr>
        <w:t>ly 5</w:t>
      </w:r>
      <w:r w:rsidR="00440516">
        <w:rPr>
          <w:u w:val="single"/>
        </w:rPr>
        <w:t>, 201</w:t>
      </w:r>
      <w:r w:rsidR="000818C1">
        <w:rPr>
          <w:u w:val="single"/>
        </w:rPr>
        <w:t>1</w:t>
      </w:r>
      <w:r w:rsidR="00BC235B">
        <w:rPr>
          <w:u w:val="single"/>
        </w:rPr>
        <w:t xml:space="preserve">.  </w:t>
      </w:r>
      <w:r w:rsidR="00440516" w:rsidRPr="00342A0A">
        <w:t xml:space="preserve"> Anyone who does not receive an update </w:t>
      </w:r>
      <w:r w:rsidR="00440516">
        <w:t xml:space="preserve">with the current CN Database </w:t>
      </w:r>
      <w:r w:rsidR="00903EE4">
        <w:t xml:space="preserve">by July 5, 2011, </w:t>
      </w:r>
      <w:r w:rsidR="00440516" w:rsidRPr="00342A0A">
        <w:t>should contact his or her software company</w:t>
      </w:r>
      <w:r w:rsidR="00BC235B">
        <w:t xml:space="preserve">.  </w:t>
      </w:r>
      <w:r w:rsidR="00440516" w:rsidRPr="00342A0A">
        <w:t xml:space="preserve"> </w:t>
      </w:r>
    </w:p>
    <w:p w:rsidR="00440516" w:rsidRDefault="00440516" w:rsidP="00903EE4">
      <w:pPr>
        <w:pStyle w:val="NormalWeb"/>
        <w:spacing w:before="0" w:beforeAutospacing="0" w:after="0" w:afterAutospacing="0"/>
      </w:pPr>
    </w:p>
    <w:p w:rsidR="00903EE4" w:rsidRPr="00951E4B" w:rsidRDefault="00903EE4" w:rsidP="00903EE4">
      <w:pPr>
        <w:pStyle w:val="NormalWeb"/>
        <w:spacing w:before="0" w:beforeAutospacing="0" w:after="0" w:afterAutospacing="0"/>
      </w:pPr>
      <w:r>
        <w:t>The following chart provides a snapshot of the content of CN15 and a summary of new and updated items:</w:t>
      </w:r>
    </w:p>
    <w:tbl>
      <w:tblPr>
        <w:tblpPr w:leftFromText="180" w:rightFromText="180" w:vertAnchor="text" w:horzAnchor="margin" w:tblpY="93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2070"/>
        <w:gridCol w:w="3060"/>
      </w:tblGrid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CN15 Content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Total in Category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New / Updated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Active Food Items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11,358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157 New / 1390 Updated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Standard Reference Food Items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2,839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115 New / 48 Updated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Food Industry Items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8,069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7 New / 1126 Updated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USDA Standardized Recipes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258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0 / 210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USDA [commodity] Food Items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192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35 New / 5 Updated</w:t>
            </w:r>
          </w:p>
        </w:tc>
      </w:tr>
      <w:tr w:rsidR="00903EE4" w:rsidRPr="00CB0750" w:rsidTr="001467C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Nutrient Values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181,616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E4" w:rsidRPr="00CB0750" w:rsidRDefault="00903EE4" w:rsidP="00903EE4">
            <w:pPr>
              <w:pStyle w:val="NormalWeb"/>
              <w:spacing w:before="0" w:beforeAutospacing="0" w:after="0" w:afterAutospacing="0"/>
              <w:jc w:val="center"/>
            </w:pPr>
            <w:r w:rsidRPr="00CB0750">
              <w:t>2,512 New / 2,923 Updated</w:t>
            </w:r>
          </w:p>
        </w:tc>
      </w:tr>
    </w:tbl>
    <w:p w:rsidR="00903EE4" w:rsidRDefault="00903EE4" w:rsidP="00903EE4">
      <w:pPr>
        <w:pStyle w:val="NormalWeb"/>
        <w:spacing w:before="0" w:beforeAutospacing="0" w:after="0" w:afterAutospacing="0"/>
      </w:pPr>
    </w:p>
    <w:p w:rsidR="00903EE4" w:rsidRDefault="00831ECF" w:rsidP="00903EE4">
      <w:pPr>
        <w:pStyle w:val="NormalWeb"/>
        <w:spacing w:before="0" w:beforeAutospacing="0" w:after="0" w:afterAutospacing="0"/>
      </w:pPr>
      <w:r>
        <w:t xml:space="preserve">It is important to note that school food </w:t>
      </w:r>
      <w:r w:rsidR="005F7A1B">
        <w:t xml:space="preserve">manufactures </w:t>
      </w:r>
      <w:r w:rsidR="00D265C3">
        <w:t>may</w:t>
      </w:r>
      <w:r w:rsidR="005F7A1B">
        <w:t xml:space="preserve"> also visit the CN Database website at: </w:t>
      </w:r>
      <w:hyperlink r:id="rId14" w:history="1">
        <w:r w:rsidR="005F7A1B" w:rsidRPr="00BC235B">
          <w:t>http://he</w:t>
        </w:r>
        <w:r w:rsidR="005F7A1B" w:rsidRPr="00BC235B">
          <w:t>a</w:t>
        </w:r>
        <w:r w:rsidR="005F7A1B" w:rsidRPr="00BC235B">
          <w:t>lthymeals.</w:t>
        </w:r>
        <w:r w:rsidR="005F7A1B" w:rsidRPr="00BC235B">
          <w:t>n</w:t>
        </w:r>
        <w:r w:rsidR="005F7A1B" w:rsidRPr="00BC235B">
          <w:t>al.usda.gov/cndatabase.html</w:t>
        </w:r>
      </w:hyperlink>
      <w:r w:rsidR="005F7A1B">
        <w:t xml:space="preserve"> to add and</w:t>
      </w:r>
      <w:r w:rsidR="00D265C3">
        <w:t>/or</w:t>
      </w:r>
      <w:r w:rsidR="005F7A1B">
        <w:t xml:space="preserve"> update</w:t>
      </w:r>
      <w:r w:rsidR="009C4614">
        <w:t xml:space="preserve"> the</w:t>
      </w:r>
      <w:r w:rsidR="005F7A1B">
        <w:t xml:space="preserve"> nutrient information </w:t>
      </w:r>
      <w:r w:rsidR="009C4614">
        <w:t>for the products they make available to the school market place</w:t>
      </w:r>
      <w:r w:rsidR="00BC235B">
        <w:t xml:space="preserve">.  </w:t>
      </w:r>
      <w:r w:rsidR="00E87535">
        <w:t xml:space="preserve"> All new and updated nutrient information will be</w:t>
      </w:r>
      <w:r w:rsidR="009C4614">
        <w:t xml:space="preserve"> inclu</w:t>
      </w:r>
      <w:r w:rsidR="00E87535">
        <w:t>ded</w:t>
      </w:r>
      <w:r w:rsidR="009C4614">
        <w:t xml:space="preserve"> with the </w:t>
      </w:r>
      <w:r w:rsidR="0057048D">
        <w:t xml:space="preserve">next </w:t>
      </w:r>
      <w:r w:rsidR="009C4614">
        <w:t xml:space="preserve">annual springtime release of </w:t>
      </w:r>
      <w:r w:rsidR="00D265C3">
        <w:t>the CN Database</w:t>
      </w:r>
      <w:r w:rsidR="00BC235B">
        <w:t xml:space="preserve">.  </w:t>
      </w:r>
      <w:r w:rsidR="009C4614">
        <w:t xml:space="preserve"> </w:t>
      </w:r>
      <w:r w:rsidR="00D265C3">
        <w:t xml:space="preserve"> </w:t>
      </w:r>
    </w:p>
    <w:p w:rsidR="00440516" w:rsidRDefault="00E23DD7" w:rsidP="00440516">
      <w:pPr>
        <w:pStyle w:val="NormalWeb"/>
        <w:spacing w:before="0" w:beforeAutospacing="0" w:after="0" w:afterAutospacing="0"/>
      </w:pPr>
      <w:r>
        <w:br w:type="page"/>
      </w:r>
      <w:r w:rsidR="00440516" w:rsidRPr="00342A0A">
        <w:lastRenderedPageBreak/>
        <w:t xml:space="preserve">Please contact </w:t>
      </w:r>
      <w:r w:rsidR="00440516">
        <w:t>Tim</w:t>
      </w:r>
      <w:r w:rsidR="00440516" w:rsidRPr="00342A0A">
        <w:t xml:space="preserve"> </w:t>
      </w:r>
      <w:r w:rsidR="00440516">
        <w:t>Vázquez</w:t>
      </w:r>
      <w:r w:rsidR="00440516" w:rsidRPr="00342A0A">
        <w:t xml:space="preserve"> at (703) 305-2609, if you have any questions or if you determine that a software company is not updating their software to include </w:t>
      </w:r>
      <w:r w:rsidR="00C128E1">
        <w:t xml:space="preserve">the </w:t>
      </w:r>
      <w:r w:rsidR="00440516" w:rsidRPr="00342A0A">
        <w:t>CN</w:t>
      </w:r>
      <w:r w:rsidR="00440516">
        <w:t>1</w:t>
      </w:r>
      <w:r w:rsidR="005F7A1B">
        <w:t>5</w:t>
      </w:r>
      <w:r w:rsidR="00C128E1">
        <w:t xml:space="preserve"> database</w:t>
      </w:r>
      <w:r w:rsidR="00BC235B">
        <w:t xml:space="preserve">.  </w:t>
      </w:r>
    </w:p>
    <w:p w:rsidR="00440516" w:rsidRDefault="00440516" w:rsidP="005F7A1B">
      <w:pPr>
        <w:pStyle w:val="NormalWeb"/>
        <w:spacing w:before="0" w:beforeAutospacing="0" w:after="0" w:afterAutospacing="0"/>
      </w:pPr>
    </w:p>
    <w:p w:rsidR="00440516" w:rsidRPr="005F7A1B" w:rsidRDefault="00B727DB" w:rsidP="005F7A1B">
      <w:pPr>
        <w:pStyle w:val="NormalWeb"/>
        <w:spacing w:before="0" w:beforeAutospacing="0" w:after="0" w:afterAutospacing="0"/>
      </w:pPr>
      <w:r w:rsidRPr="003140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3pt;height:39.55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440516" w:rsidRPr="005F7A1B" w:rsidRDefault="00440516" w:rsidP="005F7A1B">
      <w:pPr>
        <w:pStyle w:val="NormalWeb"/>
        <w:spacing w:before="0" w:beforeAutospacing="0" w:after="0" w:afterAutospacing="0"/>
      </w:pPr>
      <w:r w:rsidRPr="005F7A1B">
        <w:t>Cynthia Long</w:t>
      </w:r>
    </w:p>
    <w:p w:rsidR="00440516" w:rsidRPr="005F7A1B" w:rsidRDefault="00440516" w:rsidP="00440516">
      <w:pPr>
        <w:rPr>
          <w:color w:val="000000"/>
          <w:sz w:val="24"/>
          <w:szCs w:val="24"/>
        </w:rPr>
      </w:pPr>
      <w:r w:rsidRPr="005F7A1B">
        <w:rPr>
          <w:color w:val="000000"/>
          <w:sz w:val="24"/>
          <w:szCs w:val="24"/>
        </w:rPr>
        <w:t>Director</w:t>
      </w:r>
    </w:p>
    <w:p w:rsidR="00440516" w:rsidRPr="005F7A1B" w:rsidRDefault="00440516" w:rsidP="00440516">
      <w:pPr>
        <w:rPr>
          <w:color w:val="000000"/>
          <w:sz w:val="24"/>
          <w:szCs w:val="24"/>
        </w:rPr>
      </w:pPr>
      <w:r w:rsidRPr="005F7A1B">
        <w:rPr>
          <w:color w:val="000000"/>
          <w:sz w:val="24"/>
          <w:szCs w:val="24"/>
        </w:rPr>
        <w:t>Child Nutrition Division</w:t>
      </w:r>
    </w:p>
    <w:p w:rsidR="00440516" w:rsidRDefault="00440516" w:rsidP="00440516">
      <w:pPr>
        <w:rPr>
          <w:sz w:val="22"/>
          <w:szCs w:val="22"/>
        </w:rPr>
      </w:pPr>
    </w:p>
    <w:sectPr w:rsidR="00440516" w:rsidSect="001A63D7">
      <w:head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B2" w:rsidRDefault="00FD74B2">
      <w:r>
        <w:separator/>
      </w:r>
    </w:p>
  </w:endnote>
  <w:endnote w:type="continuationSeparator" w:id="0">
    <w:p w:rsidR="00FD74B2" w:rsidRDefault="00FD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B8" w:rsidRDefault="009016B8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9016B8" w:rsidRDefault="00901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B2" w:rsidRDefault="00FD74B2">
      <w:r>
        <w:separator/>
      </w:r>
    </w:p>
  </w:footnote>
  <w:footnote w:type="continuationSeparator" w:id="0">
    <w:p w:rsidR="00FD74B2" w:rsidRDefault="00FD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B8" w:rsidRDefault="009016B8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Regional Directors</w:t>
    </w:r>
  </w:p>
  <w:p w:rsidR="009016B8" w:rsidRDefault="009016B8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State Directors</w:t>
    </w:r>
  </w:p>
  <w:p w:rsidR="009016B8" w:rsidRDefault="009016B8" w:rsidP="00B915D8">
    <w:pPr>
      <w:pStyle w:val="Header"/>
      <w:rPr>
        <w:sz w:val="24"/>
        <w:szCs w:val="24"/>
      </w:rPr>
    </w:pPr>
    <w:r>
      <w:rPr>
        <w:sz w:val="24"/>
        <w:szCs w:val="24"/>
      </w:rPr>
      <w:t>Page 2</w:t>
    </w:r>
  </w:p>
  <w:p w:rsidR="009016B8" w:rsidRDefault="009016B8" w:rsidP="00B91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442E6"/>
    <w:rsid w:val="00045E9B"/>
    <w:rsid w:val="000539C3"/>
    <w:rsid w:val="00053CD7"/>
    <w:rsid w:val="000818C1"/>
    <w:rsid w:val="000E5B41"/>
    <w:rsid w:val="000F06BE"/>
    <w:rsid w:val="000F33D8"/>
    <w:rsid w:val="001170F8"/>
    <w:rsid w:val="001328FC"/>
    <w:rsid w:val="00141D5D"/>
    <w:rsid w:val="00144D56"/>
    <w:rsid w:val="001467C3"/>
    <w:rsid w:val="00151289"/>
    <w:rsid w:val="001904FE"/>
    <w:rsid w:val="001A5CFA"/>
    <w:rsid w:val="001A63D7"/>
    <w:rsid w:val="001C2D2B"/>
    <w:rsid w:val="001C3231"/>
    <w:rsid w:val="001E610A"/>
    <w:rsid w:val="001F50EA"/>
    <w:rsid w:val="00213C20"/>
    <w:rsid w:val="00221513"/>
    <w:rsid w:val="00250B6C"/>
    <w:rsid w:val="0026617A"/>
    <w:rsid w:val="00285E0A"/>
    <w:rsid w:val="002907C4"/>
    <w:rsid w:val="00291ECA"/>
    <w:rsid w:val="002939C0"/>
    <w:rsid w:val="00294EE6"/>
    <w:rsid w:val="00297EB6"/>
    <w:rsid w:val="0031355B"/>
    <w:rsid w:val="00347559"/>
    <w:rsid w:val="00371EFE"/>
    <w:rsid w:val="003E0490"/>
    <w:rsid w:val="003F1794"/>
    <w:rsid w:val="003F7AEC"/>
    <w:rsid w:val="00440516"/>
    <w:rsid w:val="00460C1D"/>
    <w:rsid w:val="0046102B"/>
    <w:rsid w:val="00463D57"/>
    <w:rsid w:val="004A4310"/>
    <w:rsid w:val="004C55A0"/>
    <w:rsid w:val="004D0C3E"/>
    <w:rsid w:val="004D20D1"/>
    <w:rsid w:val="004D6D38"/>
    <w:rsid w:val="004F642D"/>
    <w:rsid w:val="005415DF"/>
    <w:rsid w:val="00543F74"/>
    <w:rsid w:val="00553B3D"/>
    <w:rsid w:val="0057048D"/>
    <w:rsid w:val="005818CA"/>
    <w:rsid w:val="0058372D"/>
    <w:rsid w:val="005C29D7"/>
    <w:rsid w:val="005D0532"/>
    <w:rsid w:val="005D66D2"/>
    <w:rsid w:val="005F73DC"/>
    <w:rsid w:val="005F7A1B"/>
    <w:rsid w:val="00613738"/>
    <w:rsid w:val="00613BC0"/>
    <w:rsid w:val="00633F30"/>
    <w:rsid w:val="00652182"/>
    <w:rsid w:val="006547C2"/>
    <w:rsid w:val="00666E13"/>
    <w:rsid w:val="006C777F"/>
    <w:rsid w:val="00701C92"/>
    <w:rsid w:val="00705E50"/>
    <w:rsid w:val="00706473"/>
    <w:rsid w:val="00724EA7"/>
    <w:rsid w:val="00767324"/>
    <w:rsid w:val="007824E6"/>
    <w:rsid w:val="00791EB8"/>
    <w:rsid w:val="007933A8"/>
    <w:rsid w:val="007A5204"/>
    <w:rsid w:val="007A68D5"/>
    <w:rsid w:val="007B0EB0"/>
    <w:rsid w:val="007B75D8"/>
    <w:rsid w:val="007C5026"/>
    <w:rsid w:val="007E3242"/>
    <w:rsid w:val="00831ECF"/>
    <w:rsid w:val="00835497"/>
    <w:rsid w:val="00847A10"/>
    <w:rsid w:val="00862EA7"/>
    <w:rsid w:val="008717F7"/>
    <w:rsid w:val="008730EF"/>
    <w:rsid w:val="00873234"/>
    <w:rsid w:val="008A4014"/>
    <w:rsid w:val="008A78E8"/>
    <w:rsid w:val="008B6E6D"/>
    <w:rsid w:val="008C56B6"/>
    <w:rsid w:val="008D3308"/>
    <w:rsid w:val="008E5A23"/>
    <w:rsid w:val="009016B8"/>
    <w:rsid w:val="00903EE4"/>
    <w:rsid w:val="00913566"/>
    <w:rsid w:val="00915FD4"/>
    <w:rsid w:val="00924C3E"/>
    <w:rsid w:val="009250D7"/>
    <w:rsid w:val="0092741C"/>
    <w:rsid w:val="00927FFE"/>
    <w:rsid w:val="009460FB"/>
    <w:rsid w:val="00947272"/>
    <w:rsid w:val="00962C0D"/>
    <w:rsid w:val="009769F3"/>
    <w:rsid w:val="009A73F9"/>
    <w:rsid w:val="009C4614"/>
    <w:rsid w:val="00A14757"/>
    <w:rsid w:val="00A446AC"/>
    <w:rsid w:val="00A50514"/>
    <w:rsid w:val="00A62E23"/>
    <w:rsid w:val="00A65F04"/>
    <w:rsid w:val="00A72C09"/>
    <w:rsid w:val="00AA0BD4"/>
    <w:rsid w:val="00AA4BF3"/>
    <w:rsid w:val="00AB4B4B"/>
    <w:rsid w:val="00AC09A9"/>
    <w:rsid w:val="00AE68AB"/>
    <w:rsid w:val="00AF6EC5"/>
    <w:rsid w:val="00B03240"/>
    <w:rsid w:val="00B050A7"/>
    <w:rsid w:val="00B061D5"/>
    <w:rsid w:val="00B3390A"/>
    <w:rsid w:val="00B35EB6"/>
    <w:rsid w:val="00B45E93"/>
    <w:rsid w:val="00B53A98"/>
    <w:rsid w:val="00B71F2E"/>
    <w:rsid w:val="00B727DB"/>
    <w:rsid w:val="00B7588C"/>
    <w:rsid w:val="00B915D8"/>
    <w:rsid w:val="00B92CBF"/>
    <w:rsid w:val="00B96087"/>
    <w:rsid w:val="00BB0EB2"/>
    <w:rsid w:val="00BB5B70"/>
    <w:rsid w:val="00BB5FDE"/>
    <w:rsid w:val="00BC235B"/>
    <w:rsid w:val="00BD754F"/>
    <w:rsid w:val="00BE0EBF"/>
    <w:rsid w:val="00BE620E"/>
    <w:rsid w:val="00BF6F4B"/>
    <w:rsid w:val="00C068C4"/>
    <w:rsid w:val="00C128E1"/>
    <w:rsid w:val="00C430C4"/>
    <w:rsid w:val="00D01C96"/>
    <w:rsid w:val="00D05AE8"/>
    <w:rsid w:val="00D1158A"/>
    <w:rsid w:val="00D17810"/>
    <w:rsid w:val="00D202EE"/>
    <w:rsid w:val="00D265C3"/>
    <w:rsid w:val="00D3064F"/>
    <w:rsid w:val="00D342CD"/>
    <w:rsid w:val="00D5617C"/>
    <w:rsid w:val="00D73B32"/>
    <w:rsid w:val="00D94403"/>
    <w:rsid w:val="00DA061D"/>
    <w:rsid w:val="00DC2205"/>
    <w:rsid w:val="00DC2E19"/>
    <w:rsid w:val="00DD0ABB"/>
    <w:rsid w:val="00DD6A3C"/>
    <w:rsid w:val="00DE1B7C"/>
    <w:rsid w:val="00DF3075"/>
    <w:rsid w:val="00DF5E76"/>
    <w:rsid w:val="00E23DD7"/>
    <w:rsid w:val="00E669C3"/>
    <w:rsid w:val="00E87535"/>
    <w:rsid w:val="00E935D2"/>
    <w:rsid w:val="00E97BB6"/>
    <w:rsid w:val="00EB2B6E"/>
    <w:rsid w:val="00ED249A"/>
    <w:rsid w:val="00EE4F43"/>
    <w:rsid w:val="00EF10EE"/>
    <w:rsid w:val="00F25191"/>
    <w:rsid w:val="00F3388F"/>
    <w:rsid w:val="00F50100"/>
    <w:rsid w:val="00F57CA4"/>
    <w:rsid w:val="00F64DEF"/>
    <w:rsid w:val="00F80D63"/>
    <w:rsid w:val="00F95B50"/>
    <w:rsid w:val="00FD1F1A"/>
    <w:rsid w:val="00FD74B2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rsid w:val="004405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D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ealthymeals.nal.usda.gov/cndatabas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ealthymeals.nal.usda.gov/cndataba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SP 30; TA 03-2011:  Child Nutrition Database Release 15 is available to software developers from the Healthy Meals Resource System Web site</Description0>
    <Issue_x0020_Date xmlns="76983112-C951-433B-8FB5-570596957979">2011-04-15T06:00:00+00:00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A629-474E-47B3-9F11-FDE33BE8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1DAD2C-EAAE-4D4D-AE5D-7B8C973902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178CF7-BE98-44DC-8C90-011BA7A25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8794C-A7DF-4BAB-BD2E-585ECE76351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B6BDAC9-3C98-422D-BD9C-8EA0001A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2509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http://healthymeals.nal.usda.gov/cndatabase.html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http://healthymeals.nal.usda.gov/cndatabase.html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30; TA 03-2011:  Child Nutrition Database Release 15</dc:title>
  <dc:creator>UserName</dc:creator>
  <cp:lastModifiedBy>aander</cp:lastModifiedBy>
  <cp:revision>2</cp:revision>
  <cp:lastPrinted>2011-04-14T14:45:00Z</cp:lastPrinted>
  <dcterms:created xsi:type="dcterms:W3CDTF">2011-08-25T16:15:00Z</dcterms:created>
  <dcterms:modified xsi:type="dcterms:W3CDTF">2011-08-25T16:15:00Z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