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A244C5" w:rsidRDefault="00A244C5" w:rsidP="008A78E8">
      <w:pPr>
        <w:rPr>
          <w:sz w:val="23"/>
        </w:rPr>
      </w:pPr>
    </w:p>
    <w:p w:rsidR="00543F74" w:rsidRDefault="00167A0E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738" w:rsidRPr="00A244C5" w:rsidRDefault="003F6935" w:rsidP="000D060D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14, 201</w:t>
      </w:r>
      <w:r w:rsidR="00847E52">
        <w:rPr>
          <w:sz w:val="24"/>
          <w:szCs w:val="24"/>
        </w:rPr>
        <w:t>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MEMO CODE:</w:t>
      </w:r>
      <w:r w:rsidRPr="00A244C5">
        <w:rPr>
          <w:sz w:val="24"/>
          <w:szCs w:val="24"/>
        </w:rPr>
        <w:tab/>
      </w:r>
      <w:r w:rsidR="00710557">
        <w:rPr>
          <w:sz w:val="24"/>
          <w:szCs w:val="24"/>
        </w:rPr>
        <w:t>SFSP</w:t>
      </w:r>
      <w:r w:rsidR="003F6935">
        <w:rPr>
          <w:sz w:val="24"/>
          <w:szCs w:val="24"/>
        </w:rPr>
        <w:t xml:space="preserve"> 02-</w:t>
      </w:r>
      <w:r w:rsidR="00C14DAE">
        <w:rPr>
          <w:sz w:val="24"/>
          <w:szCs w:val="24"/>
        </w:rPr>
        <w:t>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3F6935" w:rsidRDefault="00701C92" w:rsidP="00BC5E69">
      <w:pPr>
        <w:rPr>
          <w:sz w:val="24"/>
          <w:szCs w:val="24"/>
        </w:rPr>
      </w:pPr>
      <w:r w:rsidRPr="00A244C5">
        <w:rPr>
          <w:sz w:val="24"/>
          <w:szCs w:val="24"/>
        </w:rPr>
        <w:t>SUBJECT: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C45AAC">
        <w:rPr>
          <w:sz w:val="24"/>
          <w:szCs w:val="24"/>
        </w:rPr>
        <w:t xml:space="preserve">Child Nutrition </w:t>
      </w:r>
      <w:r w:rsidR="009A6E2E" w:rsidRPr="00A244C5">
        <w:rPr>
          <w:sz w:val="24"/>
          <w:szCs w:val="24"/>
        </w:rPr>
        <w:t>Rea</w:t>
      </w:r>
      <w:r w:rsidR="00610FE5" w:rsidRPr="00A244C5">
        <w:rPr>
          <w:sz w:val="24"/>
          <w:szCs w:val="24"/>
        </w:rPr>
        <w:t>uthorization</w:t>
      </w:r>
      <w:r w:rsidR="00C45AAC">
        <w:rPr>
          <w:sz w:val="24"/>
          <w:szCs w:val="24"/>
        </w:rPr>
        <w:t xml:space="preserve"> 201</w:t>
      </w:r>
      <w:r w:rsidR="00394F7F">
        <w:rPr>
          <w:sz w:val="24"/>
          <w:szCs w:val="24"/>
        </w:rPr>
        <w:t>0</w:t>
      </w:r>
      <w:r w:rsidR="00C45AAC">
        <w:rPr>
          <w:sz w:val="24"/>
          <w:szCs w:val="24"/>
        </w:rPr>
        <w:t>:</w:t>
      </w:r>
      <w:r w:rsidR="00E72222">
        <w:rPr>
          <w:sz w:val="24"/>
          <w:szCs w:val="24"/>
        </w:rPr>
        <w:t xml:space="preserve">  </w:t>
      </w:r>
    </w:p>
    <w:p w:rsidR="008B496E" w:rsidRDefault="00C45AAC" w:rsidP="00BC5E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496E">
        <w:rPr>
          <w:sz w:val="24"/>
          <w:szCs w:val="24"/>
        </w:rPr>
        <w:t xml:space="preserve">Eligibility Requirements and </w:t>
      </w:r>
      <w:r w:rsidR="00710557">
        <w:rPr>
          <w:sz w:val="24"/>
          <w:szCs w:val="24"/>
        </w:rPr>
        <w:t xml:space="preserve">Site Limits </w:t>
      </w:r>
      <w:r w:rsidR="007F6277">
        <w:rPr>
          <w:sz w:val="24"/>
          <w:szCs w:val="24"/>
        </w:rPr>
        <w:t>for Private Nonprofit</w:t>
      </w:r>
    </w:p>
    <w:p w:rsidR="00642800" w:rsidRDefault="00BC5E69" w:rsidP="00BC5E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6277">
        <w:rPr>
          <w:sz w:val="24"/>
          <w:szCs w:val="24"/>
        </w:rPr>
        <w:t xml:space="preserve">Organizations </w:t>
      </w:r>
      <w:r w:rsidR="00710557">
        <w:rPr>
          <w:sz w:val="24"/>
          <w:szCs w:val="24"/>
        </w:rPr>
        <w:t>in the Summer Food Service Program</w:t>
      </w:r>
    </w:p>
    <w:p w:rsidR="005877CC" w:rsidRDefault="005877CC" w:rsidP="00A244C5">
      <w:pPr>
        <w:rPr>
          <w:sz w:val="24"/>
          <w:szCs w:val="24"/>
        </w:rPr>
      </w:pPr>
    </w:p>
    <w:p w:rsidR="009A6E2E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TO: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Regional Directors</w:t>
      </w:r>
    </w:p>
    <w:p w:rsidR="00701C92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701C92" w:rsidRPr="00A244C5">
        <w:rPr>
          <w:sz w:val="24"/>
          <w:szCs w:val="24"/>
        </w:rPr>
        <w:tab/>
        <w:t>Special Nutrition Programs</w:t>
      </w:r>
    </w:p>
    <w:p w:rsidR="009A6E2E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Regions</w:t>
      </w:r>
    </w:p>
    <w:p w:rsidR="009A6E2E" w:rsidRPr="00A244C5" w:rsidRDefault="009A6E2E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State Directors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Child Nutrition Programs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States</w:t>
      </w:r>
    </w:p>
    <w:p w:rsidR="00701C92" w:rsidRPr="00A244C5" w:rsidRDefault="00701C92" w:rsidP="00A244C5">
      <w:pPr>
        <w:rPr>
          <w:sz w:val="24"/>
          <w:szCs w:val="24"/>
        </w:rPr>
      </w:pPr>
    </w:p>
    <w:p w:rsidR="004E34C3" w:rsidRPr="00A244C5" w:rsidRDefault="004A7E21" w:rsidP="004A7E21">
      <w:p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The Healthy, Hunger-Free Kids Act </w:t>
      </w:r>
      <w:r>
        <w:rPr>
          <w:sz w:val="24"/>
          <w:szCs w:val="24"/>
        </w:rPr>
        <w:t xml:space="preserve">of 2010 (the Act), </w:t>
      </w:r>
      <w:r>
        <w:rPr>
          <w:color w:val="333333"/>
          <w:sz w:val="24"/>
          <w:szCs w:val="24"/>
        </w:rPr>
        <w:t xml:space="preserve">Public Law 111-296, </w:t>
      </w:r>
      <w:r>
        <w:rPr>
          <w:sz w:val="24"/>
          <w:szCs w:val="24"/>
        </w:rPr>
        <w:t>was signed into law by the President on December 13, 2010.</w:t>
      </w:r>
      <w:r w:rsidR="00BC5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Act modifies</w:t>
      </w:r>
      <w:r w:rsidR="00872BD9" w:rsidRPr="00A244C5">
        <w:rPr>
          <w:sz w:val="24"/>
          <w:szCs w:val="24"/>
        </w:rPr>
        <w:t xml:space="preserve"> </w:t>
      </w:r>
      <w:r w:rsidR="008B496E">
        <w:rPr>
          <w:sz w:val="24"/>
          <w:szCs w:val="24"/>
        </w:rPr>
        <w:t xml:space="preserve">Summer Food Service Program (SFSP) </w:t>
      </w:r>
      <w:r w:rsidR="00BF79B5">
        <w:rPr>
          <w:sz w:val="24"/>
          <w:szCs w:val="24"/>
        </w:rPr>
        <w:t xml:space="preserve">eligibility </w:t>
      </w:r>
      <w:r w:rsidR="00872BD9" w:rsidRPr="00A244C5">
        <w:rPr>
          <w:sz w:val="24"/>
          <w:szCs w:val="24"/>
        </w:rPr>
        <w:t>requirements for</w:t>
      </w:r>
      <w:r w:rsidR="00BF79B5">
        <w:rPr>
          <w:sz w:val="24"/>
          <w:szCs w:val="24"/>
        </w:rPr>
        <w:t xml:space="preserve"> private nonprofit organization</w:t>
      </w:r>
      <w:r w:rsidR="007F6277">
        <w:rPr>
          <w:sz w:val="24"/>
          <w:szCs w:val="24"/>
        </w:rPr>
        <w:t>s</w:t>
      </w:r>
      <w:r w:rsidR="00BF79B5">
        <w:rPr>
          <w:sz w:val="24"/>
          <w:szCs w:val="24"/>
        </w:rPr>
        <w:t xml:space="preserve"> </w:t>
      </w:r>
      <w:r w:rsidR="0098676B">
        <w:rPr>
          <w:sz w:val="24"/>
          <w:szCs w:val="24"/>
        </w:rPr>
        <w:t>(PNO</w:t>
      </w:r>
      <w:r w:rsidR="007F6277">
        <w:rPr>
          <w:sz w:val="24"/>
          <w:szCs w:val="24"/>
        </w:rPr>
        <w:t>s</w:t>
      </w:r>
      <w:r w:rsidR="008B496E">
        <w:rPr>
          <w:sz w:val="24"/>
          <w:szCs w:val="24"/>
        </w:rPr>
        <w:t>)</w:t>
      </w:r>
      <w:r w:rsidR="00710557">
        <w:rPr>
          <w:sz w:val="24"/>
          <w:szCs w:val="24"/>
        </w:rPr>
        <w:t>.</w:t>
      </w:r>
      <w:r w:rsidR="00872BD9" w:rsidRPr="00A244C5">
        <w:rPr>
          <w:sz w:val="24"/>
          <w:szCs w:val="24"/>
        </w:rPr>
        <w:t xml:space="preserve"> </w:t>
      </w:r>
      <w:r w:rsidR="00BC5E69">
        <w:rPr>
          <w:sz w:val="24"/>
          <w:szCs w:val="24"/>
        </w:rPr>
        <w:t xml:space="preserve"> </w:t>
      </w:r>
      <w:r w:rsidR="004E34C3" w:rsidRPr="00A244C5">
        <w:rPr>
          <w:sz w:val="24"/>
          <w:szCs w:val="24"/>
        </w:rPr>
        <w:t xml:space="preserve">The purpose of this memorandum is to </w:t>
      </w:r>
      <w:r w:rsidR="006E1F3E">
        <w:rPr>
          <w:sz w:val="24"/>
          <w:szCs w:val="24"/>
        </w:rPr>
        <w:t xml:space="preserve">implement </w:t>
      </w:r>
      <w:r w:rsidR="004E34C3" w:rsidRPr="00A244C5">
        <w:rPr>
          <w:sz w:val="24"/>
          <w:szCs w:val="24"/>
        </w:rPr>
        <w:t xml:space="preserve">these modifications </w:t>
      </w:r>
      <w:r w:rsidR="00494D31">
        <w:rPr>
          <w:sz w:val="24"/>
          <w:szCs w:val="24"/>
        </w:rPr>
        <w:t>i</w:t>
      </w:r>
      <w:r w:rsidR="004E34C3" w:rsidRPr="00A244C5">
        <w:rPr>
          <w:sz w:val="24"/>
          <w:szCs w:val="24"/>
        </w:rPr>
        <w:t xml:space="preserve">n </w:t>
      </w:r>
      <w:r w:rsidR="00710557">
        <w:rPr>
          <w:sz w:val="24"/>
          <w:szCs w:val="24"/>
        </w:rPr>
        <w:t>the SFSP.</w:t>
      </w:r>
      <w:r w:rsidR="00BF79B5">
        <w:rPr>
          <w:sz w:val="24"/>
          <w:szCs w:val="24"/>
        </w:rPr>
        <w:t xml:space="preserve"> </w:t>
      </w:r>
    </w:p>
    <w:p w:rsidR="00B36391" w:rsidRPr="00A244C5" w:rsidRDefault="00B36391" w:rsidP="00A244C5">
      <w:pPr>
        <w:widowControl w:val="0"/>
        <w:tabs>
          <w:tab w:val="left" w:pos="-720"/>
        </w:tabs>
        <w:suppressAutoHyphens/>
        <w:rPr>
          <w:sz w:val="24"/>
          <w:szCs w:val="24"/>
        </w:rPr>
      </w:pPr>
    </w:p>
    <w:p w:rsidR="00B559DB" w:rsidRPr="00A82F80" w:rsidRDefault="00B559DB" w:rsidP="00B559DB">
      <w:pPr>
        <w:shd w:val="clear" w:color="auto" w:fill="FFFFFF"/>
        <w:rPr>
          <w:sz w:val="24"/>
          <w:szCs w:val="24"/>
        </w:rPr>
      </w:pPr>
      <w:r w:rsidRPr="00A82F80">
        <w:rPr>
          <w:iCs/>
          <w:sz w:val="24"/>
          <w:szCs w:val="24"/>
        </w:rPr>
        <w:t>Section 111 of the Act</w:t>
      </w:r>
      <w:r w:rsidRPr="00A82F80">
        <w:rPr>
          <w:sz w:val="24"/>
          <w:szCs w:val="24"/>
        </w:rPr>
        <w:t xml:space="preserve"> amends section 13(a)(7) of the Richard B. Russell National School Lunch Act (42 U.S.C. 1761) to e</w:t>
      </w:r>
      <w:r w:rsidR="002E6904">
        <w:rPr>
          <w:sz w:val="24"/>
          <w:szCs w:val="24"/>
        </w:rPr>
        <w:t>xpand the</w:t>
      </w:r>
      <w:r w:rsidRPr="00A82F80">
        <w:rPr>
          <w:sz w:val="24"/>
          <w:szCs w:val="24"/>
        </w:rPr>
        <w:t xml:space="preserve"> limits on the number of sites and children that PNOs participating in the SFSP can serve. </w:t>
      </w:r>
      <w:r w:rsidR="00BC5E69">
        <w:rPr>
          <w:sz w:val="24"/>
          <w:szCs w:val="24"/>
        </w:rPr>
        <w:t xml:space="preserve"> </w:t>
      </w:r>
      <w:r w:rsidRPr="00A82F80">
        <w:rPr>
          <w:sz w:val="24"/>
          <w:szCs w:val="24"/>
        </w:rPr>
        <w:t>Under 7 CFR 225.6(b)(6)(</w:t>
      </w:r>
      <w:r>
        <w:rPr>
          <w:sz w:val="24"/>
          <w:szCs w:val="24"/>
        </w:rPr>
        <w:t>i</w:t>
      </w:r>
      <w:r w:rsidRPr="00A82F80">
        <w:rPr>
          <w:sz w:val="24"/>
          <w:szCs w:val="24"/>
        </w:rPr>
        <w:t>i) and 225.14(d)(6)(i)(A), PNOs were permitted to operate no more than 25 sites, with no more than 300 children served at any one site unless granted a waiver by the State agency to serve up to 500</w:t>
      </w:r>
      <w:r w:rsidR="008B496E">
        <w:rPr>
          <w:sz w:val="24"/>
          <w:szCs w:val="24"/>
        </w:rPr>
        <w:t xml:space="preserve"> children</w:t>
      </w:r>
      <w:r w:rsidRPr="00A82F80">
        <w:rPr>
          <w:sz w:val="24"/>
          <w:szCs w:val="24"/>
        </w:rPr>
        <w:t xml:space="preserve">. </w:t>
      </w:r>
      <w:r w:rsidR="00BC5E69">
        <w:rPr>
          <w:sz w:val="24"/>
          <w:szCs w:val="24"/>
        </w:rPr>
        <w:t xml:space="preserve"> </w:t>
      </w:r>
      <w:r w:rsidRPr="00A82F80">
        <w:rPr>
          <w:sz w:val="24"/>
          <w:szCs w:val="24"/>
        </w:rPr>
        <w:t>Effective October 1, 2010, PNOs are eligible to participate in the SFSP according to the same terms and conditions as other service institutions.</w:t>
      </w:r>
    </w:p>
    <w:p w:rsidR="0044281E" w:rsidRDefault="0044281E" w:rsidP="00A244C5">
      <w:pPr>
        <w:shd w:val="clear" w:color="auto" w:fill="FFFFFF"/>
        <w:rPr>
          <w:sz w:val="24"/>
          <w:szCs w:val="24"/>
        </w:rPr>
      </w:pPr>
    </w:p>
    <w:p w:rsidR="00275BCA" w:rsidRDefault="008B496E" w:rsidP="00A244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As a result, a</w:t>
      </w:r>
      <w:r w:rsidR="0044281E" w:rsidRPr="0044281E">
        <w:rPr>
          <w:sz w:val="24"/>
          <w:szCs w:val="24"/>
        </w:rPr>
        <w:t xml:space="preserve">ll sponsors may </w:t>
      </w:r>
      <w:r w:rsidR="007F6277">
        <w:rPr>
          <w:sz w:val="24"/>
          <w:szCs w:val="24"/>
        </w:rPr>
        <w:t xml:space="preserve">now </w:t>
      </w:r>
      <w:r w:rsidR="0044281E" w:rsidRPr="0044281E">
        <w:rPr>
          <w:sz w:val="24"/>
          <w:szCs w:val="24"/>
        </w:rPr>
        <w:t xml:space="preserve">be approved </w:t>
      </w:r>
      <w:r w:rsidR="00D770DD">
        <w:rPr>
          <w:sz w:val="24"/>
          <w:szCs w:val="24"/>
        </w:rPr>
        <w:t>to</w:t>
      </w:r>
      <w:r w:rsidR="0044281E" w:rsidRPr="0044281E">
        <w:rPr>
          <w:sz w:val="24"/>
          <w:szCs w:val="24"/>
        </w:rPr>
        <w:t xml:space="preserve"> </w:t>
      </w:r>
      <w:r w:rsidR="00600C7B">
        <w:rPr>
          <w:sz w:val="24"/>
          <w:szCs w:val="24"/>
        </w:rPr>
        <w:t>operat</w:t>
      </w:r>
      <w:r w:rsidR="00D770DD">
        <w:rPr>
          <w:sz w:val="24"/>
          <w:szCs w:val="24"/>
        </w:rPr>
        <w:t>e</w:t>
      </w:r>
      <w:r w:rsidR="00600C7B">
        <w:rPr>
          <w:sz w:val="24"/>
          <w:szCs w:val="24"/>
        </w:rPr>
        <w:t xml:space="preserve"> </w:t>
      </w:r>
      <w:r w:rsidR="0044281E" w:rsidRPr="0044281E">
        <w:rPr>
          <w:sz w:val="24"/>
          <w:szCs w:val="24"/>
        </w:rPr>
        <w:t xml:space="preserve">a maximum of 200 sites and </w:t>
      </w:r>
      <w:r w:rsidR="00600C7B">
        <w:rPr>
          <w:sz w:val="24"/>
          <w:szCs w:val="24"/>
        </w:rPr>
        <w:t>serv</w:t>
      </w:r>
      <w:r w:rsidR="00D770DD">
        <w:rPr>
          <w:sz w:val="24"/>
          <w:szCs w:val="24"/>
        </w:rPr>
        <w:t>e</w:t>
      </w:r>
      <w:r w:rsidR="00600C7B">
        <w:rPr>
          <w:sz w:val="24"/>
          <w:szCs w:val="24"/>
        </w:rPr>
        <w:t xml:space="preserve"> </w:t>
      </w:r>
      <w:r w:rsidR="0044281E" w:rsidRPr="0044281E">
        <w:rPr>
          <w:sz w:val="24"/>
          <w:szCs w:val="24"/>
        </w:rPr>
        <w:t>a maximum total average daily attendance of 50,000 children</w:t>
      </w:r>
      <w:r>
        <w:rPr>
          <w:sz w:val="24"/>
          <w:szCs w:val="24"/>
        </w:rPr>
        <w:t xml:space="preserve"> as permitted by 7 CFR 225.6(b)(6)(i)</w:t>
      </w:r>
      <w:r w:rsidR="0044281E" w:rsidRPr="0044281E">
        <w:rPr>
          <w:sz w:val="24"/>
          <w:szCs w:val="24"/>
        </w:rPr>
        <w:t>.</w:t>
      </w:r>
      <w:r w:rsidR="00BC5E69">
        <w:rPr>
          <w:sz w:val="24"/>
          <w:szCs w:val="24"/>
        </w:rPr>
        <w:t xml:space="preserve"> </w:t>
      </w:r>
      <w:r w:rsidR="0044281E" w:rsidRPr="0044281E">
        <w:rPr>
          <w:sz w:val="24"/>
          <w:szCs w:val="24"/>
        </w:rPr>
        <w:t xml:space="preserve"> </w:t>
      </w:r>
      <w:r w:rsidR="00F817A9">
        <w:rPr>
          <w:sz w:val="24"/>
          <w:szCs w:val="24"/>
        </w:rPr>
        <w:t xml:space="preserve">Exceptions to these limits </w:t>
      </w:r>
      <w:r w:rsidR="0044281E" w:rsidRPr="0044281E">
        <w:rPr>
          <w:sz w:val="24"/>
          <w:szCs w:val="24"/>
        </w:rPr>
        <w:t xml:space="preserve">may </w:t>
      </w:r>
      <w:r w:rsidR="00F817A9">
        <w:rPr>
          <w:sz w:val="24"/>
          <w:szCs w:val="24"/>
        </w:rPr>
        <w:t xml:space="preserve">be approved </w:t>
      </w:r>
      <w:r w:rsidR="0044281E" w:rsidRPr="0044281E">
        <w:rPr>
          <w:sz w:val="24"/>
          <w:szCs w:val="24"/>
        </w:rPr>
        <w:t>if the sponsor can demonstrate that it has the capabilit</w:t>
      </w:r>
      <w:r w:rsidR="007F6277">
        <w:rPr>
          <w:sz w:val="24"/>
          <w:szCs w:val="24"/>
        </w:rPr>
        <w:t>y</w:t>
      </w:r>
      <w:r w:rsidR="0044281E" w:rsidRPr="0044281E">
        <w:rPr>
          <w:sz w:val="24"/>
          <w:szCs w:val="24"/>
        </w:rPr>
        <w:t xml:space="preserve"> </w:t>
      </w:r>
      <w:r w:rsidR="007F6277">
        <w:rPr>
          <w:sz w:val="24"/>
          <w:szCs w:val="24"/>
        </w:rPr>
        <w:t xml:space="preserve">to </w:t>
      </w:r>
      <w:r w:rsidR="0044281E" w:rsidRPr="0044281E">
        <w:rPr>
          <w:sz w:val="24"/>
          <w:szCs w:val="24"/>
        </w:rPr>
        <w:t>manag</w:t>
      </w:r>
      <w:r w:rsidR="007F6277">
        <w:rPr>
          <w:sz w:val="24"/>
          <w:szCs w:val="24"/>
        </w:rPr>
        <w:t>e</w:t>
      </w:r>
      <w:r w:rsidR="0044281E" w:rsidRPr="0044281E">
        <w:rPr>
          <w:sz w:val="24"/>
          <w:szCs w:val="24"/>
        </w:rPr>
        <w:t xml:space="preserve"> a </w:t>
      </w:r>
      <w:r w:rsidR="00D770DD">
        <w:rPr>
          <w:sz w:val="24"/>
          <w:szCs w:val="24"/>
        </w:rPr>
        <w:t xml:space="preserve">larger </w:t>
      </w:r>
      <w:r w:rsidR="0044281E" w:rsidRPr="0044281E">
        <w:rPr>
          <w:sz w:val="24"/>
          <w:szCs w:val="24"/>
        </w:rPr>
        <w:t>program.</w:t>
      </w:r>
      <w:r w:rsidR="0044281E">
        <w:rPr>
          <w:sz w:val="24"/>
          <w:szCs w:val="24"/>
        </w:rPr>
        <w:t xml:space="preserve"> </w:t>
      </w:r>
    </w:p>
    <w:p w:rsidR="003E3C22" w:rsidRDefault="003E3C22" w:rsidP="00A244C5">
      <w:pPr>
        <w:shd w:val="clear" w:color="auto" w:fill="FFFFFF"/>
        <w:rPr>
          <w:sz w:val="24"/>
          <w:szCs w:val="24"/>
        </w:rPr>
      </w:pPr>
    </w:p>
    <w:p w:rsidR="005C5A86" w:rsidRDefault="003E3C22" w:rsidP="00BC5E6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The Act also </w:t>
      </w:r>
      <w:r w:rsidR="000F01EA">
        <w:rPr>
          <w:sz w:val="24"/>
          <w:szCs w:val="24"/>
        </w:rPr>
        <w:t xml:space="preserve">clarifies </w:t>
      </w:r>
      <w:r>
        <w:rPr>
          <w:sz w:val="24"/>
          <w:szCs w:val="24"/>
        </w:rPr>
        <w:t xml:space="preserve">that </w:t>
      </w:r>
      <w:r w:rsidR="007F6277">
        <w:rPr>
          <w:sz w:val="24"/>
          <w:szCs w:val="24"/>
        </w:rPr>
        <w:t>PNO</w:t>
      </w:r>
      <w:r w:rsidR="00277832">
        <w:rPr>
          <w:sz w:val="24"/>
          <w:szCs w:val="24"/>
        </w:rPr>
        <w:t>s</w:t>
      </w:r>
      <w:r w:rsidR="007F6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participating in </w:t>
      </w:r>
      <w:r w:rsidR="007F6277">
        <w:rPr>
          <w:sz w:val="24"/>
          <w:szCs w:val="24"/>
        </w:rPr>
        <w:t xml:space="preserve">the </w:t>
      </w:r>
      <w:r>
        <w:rPr>
          <w:sz w:val="24"/>
          <w:szCs w:val="24"/>
        </w:rPr>
        <w:t>SFSP must have private nonprofit status under section 501(c) of the Internal Revenue Code</w:t>
      </w:r>
      <w:r w:rsidR="004A2138">
        <w:rPr>
          <w:sz w:val="24"/>
          <w:szCs w:val="24"/>
        </w:rPr>
        <w:t xml:space="preserve"> </w:t>
      </w:r>
      <w:r w:rsidR="002406A4">
        <w:rPr>
          <w:sz w:val="24"/>
          <w:szCs w:val="24"/>
        </w:rPr>
        <w:t xml:space="preserve">of 1986 and </w:t>
      </w:r>
      <w:r w:rsidR="007F6277">
        <w:rPr>
          <w:sz w:val="24"/>
          <w:szCs w:val="24"/>
        </w:rPr>
        <w:t xml:space="preserve">be </w:t>
      </w:r>
      <w:r w:rsidR="002406A4">
        <w:rPr>
          <w:sz w:val="24"/>
          <w:szCs w:val="24"/>
        </w:rPr>
        <w:t>exe</w:t>
      </w:r>
      <w:r w:rsidR="007F6277">
        <w:rPr>
          <w:sz w:val="24"/>
          <w:szCs w:val="24"/>
        </w:rPr>
        <w:t>m</w:t>
      </w:r>
      <w:r w:rsidR="002406A4">
        <w:rPr>
          <w:sz w:val="24"/>
          <w:szCs w:val="24"/>
        </w:rPr>
        <w:t>pt from taxation under 501(a) of that code</w:t>
      </w:r>
      <w:r>
        <w:rPr>
          <w:sz w:val="24"/>
          <w:szCs w:val="24"/>
        </w:rPr>
        <w:t xml:space="preserve">. </w:t>
      </w:r>
      <w:r w:rsidR="00BC5E69">
        <w:rPr>
          <w:sz w:val="24"/>
          <w:szCs w:val="24"/>
        </w:rPr>
        <w:t xml:space="preserve"> </w:t>
      </w:r>
      <w:r w:rsidR="00F7690D">
        <w:rPr>
          <w:sz w:val="24"/>
          <w:szCs w:val="24"/>
        </w:rPr>
        <w:t xml:space="preserve">SFSP regulations at 7 CFR 225.2 require that </w:t>
      </w:r>
      <w:r w:rsidR="004A2138">
        <w:rPr>
          <w:sz w:val="24"/>
          <w:szCs w:val="24"/>
        </w:rPr>
        <w:t xml:space="preserve">all </w:t>
      </w:r>
      <w:r w:rsidR="00277832">
        <w:rPr>
          <w:sz w:val="24"/>
          <w:szCs w:val="24"/>
        </w:rPr>
        <w:t xml:space="preserve">SFSP </w:t>
      </w:r>
      <w:r w:rsidR="004A2138">
        <w:rPr>
          <w:sz w:val="24"/>
          <w:szCs w:val="24"/>
        </w:rPr>
        <w:t xml:space="preserve">institutions must have tax exempt status under the </w:t>
      </w:r>
      <w:r w:rsidR="00277832">
        <w:rPr>
          <w:sz w:val="24"/>
          <w:szCs w:val="24"/>
        </w:rPr>
        <w:t>Internal Revenue Code</w:t>
      </w:r>
      <w:r w:rsidR="00BC5E69">
        <w:rPr>
          <w:sz w:val="24"/>
          <w:szCs w:val="24"/>
        </w:rPr>
        <w:t>,</w:t>
      </w:r>
      <w:r w:rsidR="00277832">
        <w:rPr>
          <w:sz w:val="24"/>
          <w:szCs w:val="24"/>
        </w:rPr>
        <w:t xml:space="preserve"> </w:t>
      </w:r>
      <w:r w:rsidR="009820B5">
        <w:rPr>
          <w:sz w:val="24"/>
          <w:szCs w:val="24"/>
        </w:rPr>
        <w:t xml:space="preserve">but </w:t>
      </w:r>
      <w:r w:rsidR="00032A50">
        <w:rPr>
          <w:sz w:val="24"/>
          <w:szCs w:val="24"/>
        </w:rPr>
        <w:t>d</w:t>
      </w:r>
      <w:r w:rsidR="00F7690D">
        <w:rPr>
          <w:sz w:val="24"/>
          <w:szCs w:val="24"/>
        </w:rPr>
        <w:t>o</w:t>
      </w:r>
      <w:r w:rsidR="00032A50">
        <w:rPr>
          <w:sz w:val="24"/>
          <w:szCs w:val="24"/>
        </w:rPr>
        <w:t xml:space="preserve"> not specify </w:t>
      </w:r>
      <w:r w:rsidR="00F7690D">
        <w:rPr>
          <w:sz w:val="24"/>
          <w:szCs w:val="24"/>
        </w:rPr>
        <w:t xml:space="preserve">a section of the Internal Revenue Code.  </w:t>
      </w:r>
    </w:p>
    <w:p w:rsidR="004F6A03" w:rsidRPr="00A244C5" w:rsidRDefault="004F6A03" w:rsidP="004F6A03">
      <w:pPr>
        <w:shd w:val="clear" w:color="auto" w:fill="FFFFFF"/>
      </w:pPr>
    </w:p>
    <w:p w:rsidR="00BC5E69" w:rsidRDefault="00B559DB" w:rsidP="00A244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C5E69">
        <w:rPr>
          <w:sz w:val="24"/>
          <w:szCs w:val="24"/>
        </w:rPr>
        <w:lastRenderedPageBreak/>
        <w:t>Regional Directors</w:t>
      </w:r>
    </w:p>
    <w:p w:rsidR="00BC5E69" w:rsidRDefault="00BC5E69" w:rsidP="00A244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BC5E69" w:rsidRDefault="00BC5E69" w:rsidP="00A244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BC5E69" w:rsidRDefault="00BC5E69" w:rsidP="00A244C5">
      <w:pPr>
        <w:shd w:val="clear" w:color="auto" w:fill="FFFFFF"/>
        <w:rPr>
          <w:sz w:val="24"/>
          <w:szCs w:val="24"/>
        </w:rPr>
      </w:pPr>
    </w:p>
    <w:p w:rsidR="005E0E77" w:rsidRPr="00A244C5" w:rsidRDefault="00FD50FB" w:rsidP="00A244C5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>State agencies should direct any questions concerning this guidance to the appropriate FNS Regional Office.</w:t>
      </w:r>
      <w:r w:rsidR="00BC5E69">
        <w:rPr>
          <w:sz w:val="24"/>
          <w:szCs w:val="24"/>
        </w:rPr>
        <w:t xml:space="preserve"> </w:t>
      </w:r>
      <w:r w:rsidRPr="00A244C5">
        <w:rPr>
          <w:sz w:val="24"/>
          <w:szCs w:val="24"/>
        </w:rPr>
        <w:t xml:space="preserve"> Regional </w:t>
      </w:r>
      <w:r w:rsidR="00E07EC4" w:rsidRPr="00A244C5">
        <w:rPr>
          <w:sz w:val="24"/>
          <w:szCs w:val="24"/>
        </w:rPr>
        <w:t>O</w:t>
      </w:r>
      <w:r w:rsidRPr="00A244C5">
        <w:rPr>
          <w:sz w:val="24"/>
          <w:szCs w:val="24"/>
        </w:rPr>
        <w:t>ffices with questions should contact the Child Nutrition Division.</w:t>
      </w:r>
    </w:p>
    <w:p w:rsidR="006A7D26" w:rsidRDefault="006A7D26" w:rsidP="00A244C5">
      <w:pPr>
        <w:autoSpaceDE w:val="0"/>
        <w:autoSpaceDN w:val="0"/>
        <w:adjustRightInd w:val="0"/>
        <w:rPr>
          <w:sz w:val="24"/>
          <w:szCs w:val="24"/>
        </w:rPr>
      </w:pPr>
    </w:p>
    <w:p w:rsidR="00BC5E69" w:rsidRDefault="00167A0E" w:rsidP="00A244C5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53795" cy="457200"/>
            <wp:effectExtent l="19050" t="0" r="8255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26" w:rsidRDefault="006A7D26" w:rsidP="00A244C5">
      <w:pPr>
        <w:autoSpaceDE w:val="0"/>
        <w:autoSpaceDN w:val="0"/>
        <w:adjustRightInd w:val="0"/>
        <w:rPr>
          <w:sz w:val="24"/>
          <w:szCs w:val="24"/>
        </w:rPr>
      </w:pPr>
    </w:p>
    <w:p w:rsidR="004E34C3" w:rsidRPr="00A244C5" w:rsidRDefault="00BC5E69" w:rsidP="00A244C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Cynthia Long</w:t>
      </w:r>
    </w:p>
    <w:p w:rsidR="004E34C3" w:rsidRPr="00A244C5" w:rsidRDefault="004E34C3" w:rsidP="00A244C5">
      <w:pPr>
        <w:autoSpaceDE w:val="0"/>
        <w:autoSpaceDN w:val="0"/>
        <w:adjustRightInd w:val="0"/>
        <w:rPr>
          <w:sz w:val="24"/>
          <w:szCs w:val="24"/>
        </w:rPr>
      </w:pPr>
      <w:r w:rsidRPr="00A244C5">
        <w:rPr>
          <w:sz w:val="24"/>
          <w:szCs w:val="24"/>
        </w:rPr>
        <w:t>Director</w:t>
      </w:r>
    </w:p>
    <w:p w:rsidR="009A6E2E" w:rsidRDefault="004E34C3" w:rsidP="00960179">
      <w:pPr>
        <w:shd w:val="clear" w:color="auto" w:fill="FFFFFF"/>
      </w:pPr>
      <w:r w:rsidRPr="00A244C5">
        <w:rPr>
          <w:sz w:val="24"/>
          <w:szCs w:val="24"/>
        </w:rPr>
        <w:t>Child Nutrition Division</w:t>
      </w:r>
    </w:p>
    <w:sectPr w:rsidR="009A6E2E" w:rsidSect="00791E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A2" w:rsidRDefault="00F839A2">
      <w:r>
        <w:separator/>
      </w:r>
    </w:p>
  </w:endnote>
  <w:endnote w:type="continuationSeparator" w:id="0">
    <w:p w:rsidR="00F839A2" w:rsidRDefault="00F8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A9" w:rsidRDefault="00125C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A9" w:rsidRDefault="00125CA9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A9" w:rsidRDefault="00125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A2" w:rsidRDefault="00F839A2">
      <w:r>
        <w:separator/>
      </w:r>
    </w:p>
  </w:footnote>
  <w:footnote w:type="continuationSeparator" w:id="0">
    <w:p w:rsidR="00F839A2" w:rsidRDefault="00F83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A9" w:rsidRDefault="00125C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A9" w:rsidRDefault="00125C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A9" w:rsidRDefault="00125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23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2"/>
  </w:num>
  <w:num w:numId="15">
    <w:abstractNumId w:val="11"/>
  </w:num>
  <w:num w:numId="16">
    <w:abstractNumId w:val="21"/>
  </w:num>
  <w:num w:numId="17">
    <w:abstractNumId w:val="18"/>
  </w:num>
  <w:num w:numId="18">
    <w:abstractNumId w:val="20"/>
  </w:num>
  <w:num w:numId="19">
    <w:abstractNumId w:val="19"/>
  </w:num>
  <w:num w:numId="20">
    <w:abstractNumId w:val="9"/>
  </w:num>
  <w:num w:numId="21">
    <w:abstractNumId w:val="14"/>
  </w:num>
  <w:num w:numId="22">
    <w:abstractNumId w:val="22"/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attachedTemplate r:id="rId1"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3BED"/>
    <w:rsid w:val="000063D3"/>
    <w:rsid w:val="000100AA"/>
    <w:rsid w:val="0001064B"/>
    <w:rsid w:val="00024339"/>
    <w:rsid w:val="00032A50"/>
    <w:rsid w:val="000359CC"/>
    <w:rsid w:val="00043F7A"/>
    <w:rsid w:val="000442E6"/>
    <w:rsid w:val="00045E9B"/>
    <w:rsid w:val="000539C3"/>
    <w:rsid w:val="00053CD7"/>
    <w:rsid w:val="00072001"/>
    <w:rsid w:val="00077128"/>
    <w:rsid w:val="0009746B"/>
    <w:rsid w:val="000B16CF"/>
    <w:rsid w:val="000B1E1F"/>
    <w:rsid w:val="000D060D"/>
    <w:rsid w:val="000E5B41"/>
    <w:rsid w:val="000F01EA"/>
    <w:rsid w:val="0010292F"/>
    <w:rsid w:val="00110483"/>
    <w:rsid w:val="001170F8"/>
    <w:rsid w:val="00125CA9"/>
    <w:rsid w:val="0012799B"/>
    <w:rsid w:val="001328FC"/>
    <w:rsid w:val="00141D5D"/>
    <w:rsid w:val="00151289"/>
    <w:rsid w:val="001545FA"/>
    <w:rsid w:val="00163528"/>
    <w:rsid w:val="0016505A"/>
    <w:rsid w:val="00165D02"/>
    <w:rsid w:val="00167A0E"/>
    <w:rsid w:val="001808A9"/>
    <w:rsid w:val="001C2D2B"/>
    <w:rsid w:val="001C402B"/>
    <w:rsid w:val="001E1285"/>
    <w:rsid w:val="001E610A"/>
    <w:rsid w:val="001F50EA"/>
    <w:rsid w:val="00210F18"/>
    <w:rsid w:val="00213C20"/>
    <w:rsid w:val="00216648"/>
    <w:rsid w:val="002178CF"/>
    <w:rsid w:val="00221513"/>
    <w:rsid w:val="00221A7D"/>
    <w:rsid w:val="00224304"/>
    <w:rsid w:val="002406A4"/>
    <w:rsid w:val="00244821"/>
    <w:rsid w:val="002473E9"/>
    <w:rsid w:val="00250B6C"/>
    <w:rsid w:val="002527A9"/>
    <w:rsid w:val="002529D4"/>
    <w:rsid w:val="00256BE8"/>
    <w:rsid w:val="0026617A"/>
    <w:rsid w:val="00275BCA"/>
    <w:rsid w:val="00277832"/>
    <w:rsid w:val="00285E0A"/>
    <w:rsid w:val="002907C4"/>
    <w:rsid w:val="00291ECA"/>
    <w:rsid w:val="002939C0"/>
    <w:rsid w:val="00294EE6"/>
    <w:rsid w:val="002A5C89"/>
    <w:rsid w:val="002E6904"/>
    <w:rsid w:val="002F28E5"/>
    <w:rsid w:val="0031355B"/>
    <w:rsid w:val="00321158"/>
    <w:rsid w:val="00335663"/>
    <w:rsid w:val="00371EFE"/>
    <w:rsid w:val="00394F7F"/>
    <w:rsid w:val="003A70CE"/>
    <w:rsid w:val="003E0490"/>
    <w:rsid w:val="003E3C22"/>
    <w:rsid w:val="003F6935"/>
    <w:rsid w:val="003F7AEC"/>
    <w:rsid w:val="00404490"/>
    <w:rsid w:val="004057DC"/>
    <w:rsid w:val="00420B47"/>
    <w:rsid w:val="00432ABA"/>
    <w:rsid w:val="0044281E"/>
    <w:rsid w:val="00453C92"/>
    <w:rsid w:val="0046045D"/>
    <w:rsid w:val="00463D57"/>
    <w:rsid w:val="0046538F"/>
    <w:rsid w:val="00494D31"/>
    <w:rsid w:val="0049615D"/>
    <w:rsid w:val="004A1A8B"/>
    <w:rsid w:val="004A2138"/>
    <w:rsid w:val="004A7E21"/>
    <w:rsid w:val="004C23DC"/>
    <w:rsid w:val="004D0C3E"/>
    <w:rsid w:val="004D7558"/>
    <w:rsid w:val="004E34C3"/>
    <w:rsid w:val="004E4F6D"/>
    <w:rsid w:val="004F642D"/>
    <w:rsid w:val="004F6A03"/>
    <w:rsid w:val="00514F3E"/>
    <w:rsid w:val="005156CC"/>
    <w:rsid w:val="00536DDB"/>
    <w:rsid w:val="00543F74"/>
    <w:rsid w:val="00557CFF"/>
    <w:rsid w:val="0058372D"/>
    <w:rsid w:val="005877CC"/>
    <w:rsid w:val="00596A2E"/>
    <w:rsid w:val="005C5A86"/>
    <w:rsid w:val="005D0532"/>
    <w:rsid w:val="005D5315"/>
    <w:rsid w:val="005D66D2"/>
    <w:rsid w:val="005D712A"/>
    <w:rsid w:val="005D748A"/>
    <w:rsid w:val="005E0E77"/>
    <w:rsid w:val="005F73DC"/>
    <w:rsid w:val="00600C7B"/>
    <w:rsid w:val="00610FE5"/>
    <w:rsid w:val="00613738"/>
    <w:rsid w:val="00613BC0"/>
    <w:rsid w:val="00633F30"/>
    <w:rsid w:val="00642800"/>
    <w:rsid w:val="00645425"/>
    <w:rsid w:val="006547C2"/>
    <w:rsid w:val="00690442"/>
    <w:rsid w:val="006923A2"/>
    <w:rsid w:val="006A7D26"/>
    <w:rsid w:val="006C777F"/>
    <w:rsid w:val="006E1F3E"/>
    <w:rsid w:val="006F0715"/>
    <w:rsid w:val="00701C92"/>
    <w:rsid w:val="00710557"/>
    <w:rsid w:val="007212F1"/>
    <w:rsid w:val="00724EA7"/>
    <w:rsid w:val="00737C9D"/>
    <w:rsid w:val="00761108"/>
    <w:rsid w:val="00763FE9"/>
    <w:rsid w:val="0076713B"/>
    <w:rsid w:val="00767324"/>
    <w:rsid w:val="00776FCE"/>
    <w:rsid w:val="007824E6"/>
    <w:rsid w:val="00791EB8"/>
    <w:rsid w:val="007933A8"/>
    <w:rsid w:val="007A5204"/>
    <w:rsid w:val="007A5C2F"/>
    <w:rsid w:val="007B0EB0"/>
    <w:rsid w:val="007B550F"/>
    <w:rsid w:val="007B75D8"/>
    <w:rsid w:val="007C5026"/>
    <w:rsid w:val="007D12E5"/>
    <w:rsid w:val="007E1A5F"/>
    <w:rsid w:val="007F6277"/>
    <w:rsid w:val="007F63A8"/>
    <w:rsid w:val="00821186"/>
    <w:rsid w:val="00835497"/>
    <w:rsid w:val="0083600B"/>
    <w:rsid w:val="00847A10"/>
    <w:rsid w:val="00847E52"/>
    <w:rsid w:val="00866D18"/>
    <w:rsid w:val="008717F7"/>
    <w:rsid w:val="00872BD9"/>
    <w:rsid w:val="008A3BCE"/>
    <w:rsid w:val="008A4014"/>
    <w:rsid w:val="008A78E8"/>
    <w:rsid w:val="008B496E"/>
    <w:rsid w:val="008B6E6D"/>
    <w:rsid w:val="008C56B6"/>
    <w:rsid w:val="008C7C6C"/>
    <w:rsid w:val="008D3308"/>
    <w:rsid w:val="008E419D"/>
    <w:rsid w:val="008F3EF3"/>
    <w:rsid w:val="00913566"/>
    <w:rsid w:val="00915FD4"/>
    <w:rsid w:val="00924C3E"/>
    <w:rsid w:val="009250D7"/>
    <w:rsid w:val="0092741C"/>
    <w:rsid w:val="009276F1"/>
    <w:rsid w:val="009460FB"/>
    <w:rsid w:val="00946B17"/>
    <w:rsid w:val="00947272"/>
    <w:rsid w:val="00960179"/>
    <w:rsid w:val="00962C0D"/>
    <w:rsid w:val="009820B5"/>
    <w:rsid w:val="0098676B"/>
    <w:rsid w:val="009A0773"/>
    <w:rsid w:val="009A0AE3"/>
    <w:rsid w:val="009A6E2E"/>
    <w:rsid w:val="009F7CC8"/>
    <w:rsid w:val="00A244C5"/>
    <w:rsid w:val="00A40B0B"/>
    <w:rsid w:val="00A41E86"/>
    <w:rsid w:val="00A446AC"/>
    <w:rsid w:val="00A450C7"/>
    <w:rsid w:val="00A50514"/>
    <w:rsid w:val="00A82F80"/>
    <w:rsid w:val="00AA4BF3"/>
    <w:rsid w:val="00AC09A9"/>
    <w:rsid w:val="00AC3D6E"/>
    <w:rsid w:val="00AD1589"/>
    <w:rsid w:val="00AE68AB"/>
    <w:rsid w:val="00AF2A67"/>
    <w:rsid w:val="00AF4512"/>
    <w:rsid w:val="00AF6EC5"/>
    <w:rsid w:val="00B03240"/>
    <w:rsid w:val="00B3390A"/>
    <w:rsid w:val="00B35EB6"/>
    <w:rsid w:val="00B36391"/>
    <w:rsid w:val="00B420EE"/>
    <w:rsid w:val="00B45E93"/>
    <w:rsid w:val="00B5507A"/>
    <w:rsid w:val="00B559DB"/>
    <w:rsid w:val="00B773B4"/>
    <w:rsid w:val="00B92CBF"/>
    <w:rsid w:val="00B9694B"/>
    <w:rsid w:val="00BA2A2B"/>
    <w:rsid w:val="00BB5B70"/>
    <w:rsid w:val="00BB5FDE"/>
    <w:rsid w:val="00BC5E69"/>
    <w:rsid w:val="00BE0EBF"/>
    <w:rsid w:val="00BF6F4B"/>
    <w:rsid w:val="00BF79B5"/>
    <w:rsid w:val="00C14DAE"/>
    <w:rsid w:val="00C2546C"/>
    <w:rsid w:val="00C430C4"/>
    <w:rsid w:val="00C45AAC"/>
    <w:rsid w:val="00C60AC6"/>
    <w:rsid w:val="00CA241A"/>
    <w:rsid w:val="00CD53FC"/>
    <w:rsid w:val="00CF3EC7"/>
    <w:rsid w:val="00D01AB4"/>
    <w:rsid w:val="00D05AE8"/>
    <w:rsid w:val="00D1158A"/>
    <w:rsid w:val="00D12269"/>
    <w:rsid w:val="00D17810"/>
    <w:rsid w:val="00D2556F"/>
    <w:rsid w:val="00D3064F"/>
    <w:rsid w:val="00D32AD8"/>
    <w:rsid w:val="00D61847"/>
    <w:rsid w:val="00D770DD"/>
    <w:rsid w:val="00D77453"/>
    <w:rsid w:val="00D94403"/>
    <w:rsid w:val="00DA061D"/>
    <w:rsid w:val="00DA6573"/>
    <w:rsid w:val="00DC2E19"/>
    <w:rsid w:val="00DC764C"/>
    <w:rsid w:val="00DD559E"/>
    <w:rsid w:val="00DF06E2"/>
    <w:rsid w:val="00E0060D"/>
    <w:rsid w:val="00E0479E"/>
    <w:rsid w:val="00E07EC4"/>
    <w:rsid w:val="00E12A91"/>
    <w:rsid w:val="00E2039E"/>
    <w:rsid w:val="00E44A73"/>
    <w:rsid w:val="00E60346"/>
    <w:rsid w:val="00E62FFE"/>
    <w:rsid w:val="00E669C3"/>
    <w:rsid w:val="00E66B9B"/>
    <w:rsid w:val="00E72222"/>
    <w:rsid w:val="00E76580"/>
    <w:rsid w:val="00E935D2"/>
    <w:rsid w:val="00EA2339"/>
    <w:rsid w:val="00EA50B3"/>
    <w:rsid w:val="00EB2B6E"/>
    <w:rsid w:val="00EB35F3"/>
    <w:rsid w:val="00ED1089"/>
    <w:rsid w:val="00EF10EE"/>
    <w:rsid w:val="00EF54B2"/>
    <w:rsid w:val="00F20D56"/>
    <w:rsid w:val="00F25191"/>
    <w:rsid w:val="00F277FB"/>
    <w:rsid w:val="00F3388F"/>
    <w:rsid w:val="00F45FC6"/>
    <w:rsid w:val="00F57CA4"/>
    <w:rsid w:val="00F7690D"/>
    <w:rsid w:val="00F80D63"/>
    <w:rsid w:val="00F817A9"/>
    <w:rsid w:val="00F839A2"/>
    <w:rsid w:val="00F9253B"/>
    <w:rsid w:val="00F9589D"/>
    <w:rsid w:val="00FB2F1C"/>
    <w:rsid w:val="00FD50FB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567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SHARED\DMT!!!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6C20074B9EF409213BA74B31A27F0" ma:contentTypeVersion="2" ma:contentTypeDescription="Create a new document." ma:contentTypeScope="" ma:versionID="d77769117c7676e09657f186d2b73402">
  <xsd:schema xmlns:xsd="http://www.w3.org/2001/XMLSchema" xmlns:p="http://schemas.microsoft.com/office/2006/metadata/properties" xmlns:ns2="62FED64A-85B5-4393-A7D2-16510C824D9A" targetNamespace="http://schemas.microsoft.com/office/2006/metadata/properties" ma:root="true" ma:fieldsID="7fcd90bdf250216f6629c60773745dcb" ns2:_="">
    <xsd:import namespace="62FED64A-85B5-4393-A7D2-16510C824D9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FED64A-85B5-4393-A7D2-16510C824D9A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Issue_x0020_Date xmlns="62FED64A-85B5-4393-A7D2-16510C824D9A">2011-01-14T06:00:00+00:00</Issue_x0020_Date>
    <Description0 xmlns="62FED64A-85B5-4393-A7D2-16510C824D9A">Child Nutrition Reauthorization 2010: Eligibility Requirements and Site Limits for Private Nonprofit Organizations in the SFSP</Description0>
  </documentManagement>
</p:properties>
</file>

<file path=customXml/itemProps1.xml><?xml version="1.0" encoding="utf-8"?>
<ds:datastoreItem xmlns:ds="http://schemas.openxmlformats.org/officeDocument/2006/customXml" ds:itemID="{0B90715D-D21F-4C8F-8496-6AAB7D3F4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DE19A-12DA-4A90-80CA-D2DB5A936C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32A77AF-C7CD-447B-B3EC-5387BAB1F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ED64A-85B5-4393-A7D2-16510C824D9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A490B1-3C14-4630-8201-8D47A0719AE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Ponemon</dc:creator>
  <dc:description>Elimination of CACFP block claims requirement</dc:description>
  <cp:lastModifiedBy>aander</cp:lastModifiedBy>
  <cp:revision>2</cp:revision>
  <cp:lastPrinted>2011-01-14T21:28:00Z</cp:lastPrinted>
  <dcterms:created xsi:type="dcterms:W3CDTF">2011-08-26T16:26:00Z</dcterms:created>
  <dcterms:modified xsi:type="dcterms:W3CDTF">2011-08-26T16:26:00Z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