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Pr="00372F6B" w:rsidRDefault="00464246" w:rsidP="008A78E8">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87DAD" w:rsidRPr="00372F6B" w:rsidRDefault="00787DAD" w:rsidP="008A78E8">
      <w:pPr>
        <w:rPr>
          <w:sz w:val="24"/>
          <w:szCs w:val="24"/>
        </w:rPr>
      </w:pPr>
    </w:p>
    <w:p w:rsidR="00613738" w:rsidRPr="00372F6B" w:rsidRDefault="00701C92" w:rsidP="008A78E8">
      <w:pPr>
        <w:rPr>
          <w:sz w:val="24"/>
          <w:szCs w:val="24"/>
        </w:rPr>
      </w:pPr>
      <w:r w:rsidRPr="00372F6B">
        <w:rPr>
          <w:sz w:val="24"/>
          <w:szCs w:val="24"/>
        </w:rPr>
        <w:t>DATE:</w:t>
      </w:r>
      <w:r w:rsidR="00AF49A9" w:rsidRPr="00372F6B">
        <w:rPr>
          <w:sz w:val="24"/>
          <w:szCs w:val="24"/>
        </w:rPr>
        <w:t xml:space="preserve">  </w:t>
      </w:r>
      <w:r w:rsidR="000D7588">
        <w:rPr>
          <w:sz w:val="24"/>
          <w:szCs w:val="24"/>
        </w:rPr>
        <w:tab/>
      </w:r>
      <w:r w:rsidR="000D7588">
        <w:rPr>
          <w:sz w:val="24"/>
          <w:szCs w:val="24"/>
        </w:rPr>
        <w:tab/>
        <w:t>January 21, 2011</w:t>
      </w:r>
    </w:p>
    <w:p w:rsidR="00701C92" w:rsidRPr="00372F6B" w:rsidRDefault="00701C92" w:rsidP="008A78E8">
      <w:pPr>
        <w:rPr>
          <w:sz w:val="24"/>
          <w:szCs w:val="24"/>
        </w:rPr>
      </w:pPr>
    </w:p>
    <w:p w:rsidR="00701C92" w:rsidRPr="00372F6B" w:rsidRDefault="00701C92" w:rsidP="00396FE4">
      <w:pPr>
        <w:autoSpaceDE w:val="0"/>
        <w:autoSpaceDN w:val="0"/>
        <w:adjustRightInd w:val="0"/>
        <w:rPr>
          <w:sz w:val="24"/>
          <w:szCs w:val="24"/>
        </w:rPr>
      </w:pPr>
      <w:r w:rsidRPr="00372F6B">
        <w:rPr>
          <w:sz w:val="24"/>
          <w:szCs w:val="24"/>
        </w:rPr>
        <w:t>MEMO CODE:</w:t>
      </w:r>
      <w:r w:rsidR="00981799">
        <w:rPr>
          <w:sz w:val="24"/>
          <w:szCs w:val="24"/>
        </w:rPr>
        <w:tab/>
      </w:r>
      <w:r w:rsidR="00396FE4" w:rsidRPr="00372F6B">
        <w:rPr>
          <w:sz w:val="24"/>
          <w:szCs w:val="24"/>
        </w:rPr>
        <w:t>SP 04-2011, CACFP 01-2011</w:t>
      </w:r>
      <w:r w:rsidR="00AF49A9" w:rsidRPr="00372F6B">
        <w:rPr>
          <w:sz w:val="24"/>
          <w:szCs w:val="24"/>
        </w:rPr>
        <w:t>-</w:t>
      </w:r>
      <w:r w:rsidR="00396FE4" w:rsidRPr="00372F6B">
        <w:rPr>
          <w:sz w:val="24"/>
          <w:szCs w:val="24"/>
        </w:rPr>
        <w:t>Revised</w:t>
      </w:r>
    </w:p>
    <w:p w:rsidR="00701C92" w:rsidRPr="00372F6B" w:rsidRDefault="00701C92" w:rsidP="008A78E8">
      <w:pPr>
        <w:rPr>
          <w:sz w:val="24"/>
          <w:szCs w:val="24"/>
        </w:rPr>
      </w:pPr>
    </w:p>
    <w:p w:rsidR="00AF49A9" w:rsidRPr="00372F6B" w:rsidRDefault="00701C92" w:rsidP="00396FE4">
      <w:pPr>
        <w:rPr>
          <w:sz w:val="24"/>
          <w:szCs w:val="24"/>
        </w:rPr>
      </w:pPr>
      <w:r w:rsidRPr="00372F6B">
        <w:rPr>
          <w:sz w:val="24"/>
          <w:szCs w:val="24"/>
        </w:rPr>
        <w:t>SUBJECT:</w:t>
      </w:r>
      <w:r w:rsidR="009C69F7">
        <w:rPr>
          <w:sz w:val="24"/>
          <w:szCs w:val="24"/>
        </w:rPr>
        <w:tab/>
      </w:r>
      <w:r w:rsidR="00981799">
        <w:rPr>
          <w:sz w:val="24"/>
          <w:szCs w:val="24"/>
        </w:rPr>
        <w:tab/>
      </w:r>
      <w:r w:rsidR="00AF49A9" w:rsidRPr="00372F6B">
        <w:rPr>
          <w:sz w:val="24"/>
          <w:szCs w:val="24"/>
        </w:rPr>
        <w:t xml:space="preserve">Eligibility of Expanded Learning Time Programs for Afterschool </w:t>
      </w:r>
      <w:r w:rsidR="00981799">
        <w:rPr>
          <w:sz w:val="24"/>
          <w:szCs w:val="24"/>
        </w:rPr>
        <w:tab/>
      </w:r>
      <w:r w:rsidR="00981799">
        <w:rPr>
          <w:sz w:val="24"/>
          <w:szCs w:val="24"/>
        </w:rPr>
        <w:tab/>
      </w:r>
      <w:r w:rsidR="00981799">
        <w:rPr>
          <w:sz w:val="24"/>
          <w:szCs w:val="24"/>
        </w:rPr>
        <w:tab/>
      </w:r>
      <w:r w:rsidR="00981799">
        <w:rPr>
          <w:sz w:val="24"/>
          <w:szCs w:val="24"/>
        </w:rPr>
        <w:tab/>
      </w:r>
      <w:r w:rsidR="00AF49A9" w:rsidRPr="00372F6B">
        <w:rPr>
          <w:sz w:val="24"/>
          <w:szCs w:val="24"/>
        </w:rPr>
        <w:t xml:space="preserve">Snack Service in </w:t>
      </w:r>
      <w:r w:rsidR="0017288A">
        <w:rPr>
          <w:sz w:val="24"/>
          <w:szCs w:val="24"/>
        </w:rPr>
        <w:t>the National School Lunch Program (</w:t>
      </w:r>
      <w:r w:rsidR="00AF49A9" w:rsidRPr="00372F6B">
        <w:rPr>
          <w:sz w:val="24"/>
          <w:szCs w:val="24"/>
        </w:rPr>
        <w:t>NSLP</w:t>
      </w:r>
      <w:r w:rsidR="0017288A">
        <w:rPr>
          <w:sz w:val="24"/>
          <w:szCs w:val="24"/>
        </w:rPr>
        <w:t>)</w:t>
      </w:r>
      <w:r w:rsidR="00AF49A9" w:rsidRPr="00372F6B">
        <w:rPr>
          <w:sz w:val="24"/>
          <w:szCs w:val="24"/>
        </w:rPr>
        <w:t xml:space="preserve"> and </w:t>
      </w:r>
      <w:r w:rsidR="0017288A">
        <w:rPr>
          <w:sz w:val="24"/>
          <w:szCs w:val="24"/>
        </w:rPr>
        <w:tab/>
      </w:r>
      <w:r w:rsidR="0017288A">
        <w:rPr>
          <w:sz w:val="24"/>
          <w:szCs w:val="24"/>
        </w:rPr>
        <w:tab/>
      </w:r>
      <w:r w:rsidR="0017288A">
        <w:rPr>
          <w:sz w:val="24"/>
          <w:szCs w:val="24"/>
        </w:rPr>
        <w:tab/>
      </w:r>
      <w:r w:rsidR="0017288A">
        <w:rPr>
          <w:sz w:val="24"/>
          <w:szCs w:val="24"/>
        </w:rPr>
        <w:tab/>
        <w:t>the Child and Adult Care Food Program (</w:t>
      </w:r>
      <w:r w:rsidR="00AF49A9" w:rsidRPr="00372F6B">
        <w:rPr>
          <w:sz w:val="24"/>
          <w:szCs w:val="24"/>
        </w:rPr>
        <w:t>CACFP</w:t>
      </w:r>
      <w:r w:rsidR="0017288A">
        <w:rPr>
          <w:sz w:val="24"/>
          <w:szCs w:val="24"/>
        </w:rPr>
        <w:t>)</w:t>
      </w:r>
    </w:p>
    <w:p w:rsidR="00701C92" w:rsidRPr="00372F6B" w:rsidRDefault="00701C92" w:rsidP="008A78E8">
      <w:pPr>
        <w:rPr>
          <w:sz w:val="24"/>
          <w:szCs w:val="24"/>
        </w:rPr>
      </w:pPr>
    </w:p>
    <w:p w:rsidR="00701C92" w:rsidRPr="00372F6B" w:rsidRDefault="00AF49A9" w:rsidP="00701C92">
      <w:pPr>
        <w:rPr>
          <w:sz w:val="24"/>
          <w:szCs w:val="24"/>
        </w:rPr>
      </w:pPr>
      <w:r w:rsidRPr="00372F6B">
        <w:rPr>
          <w:sz w:val="24"/>
          <w:szCs w:val="24"/>
        </w:rPr>
        <w:t>TO:</w:t>
      </w:r>
      <w:r w:rsidRPr="00372F6B">
        <w:rPr>
          <w:sz w:val="24"/>
          <w:szCs w:val="24"/>
        </w:rPr>
        <w:tab/>
      </w:r>
      <w:r w:rsidRPr="00372F6B">
        <w:rPr>
          <w:sz w:val="24"/>
          <w:szCs w:val="24"/>
        </w:rPr>
        <w:tab/>
      </w:r>
      <w:r w:rsidR="00981799">
        <w:rPr>
          <w:sz w:val="24"/>
          <w:szCs w:val="24"/>
        </w:rPr>
        <w:tab/>
        <w:t>Regional Directors</w:t>
      </w:r>
      <w:r w:rsidR="00981799">
        <w:rPr>
          <w:sz w:val="24"/>
          <w:szCs w:val="24"/>
        </w:rPr>
        <w:br/>
      </w:r>
      <w:r w:rsidR="00981799">
        <w:rPr>
          <w:sz w:val="24"/>
          <w:szCs w:val="24"/>
        </w:rPr>
        <w:tab/>
      </w:r>
      <w:r w:rsidR="00981799">
        <w:rPr>
          <w:sz w:val="24"/>
          <w:szCs w:val="24"/>
        </w:rPr>
        <w:tab/>
      </w:r>
      <w:r w:rsidR="00981799">
        <w:rPr>
          <w:sz w:val="24"/>
          <w:szCs w:val="24"/>
        </w:rPr>
        <w:tab/>
      </w:r>
      <w:r w:rsidR="00701C92" w:rsidRPr="00372F6B">
        <w:rPr>
          <w:sz w:val="24"/>
          <w:szCs w:val="24"/>
        </w:rPr>
        <w:t>Special Nutrition Programs</w:t>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All Regions</w:t>
      </w:r>
      <w:r w:rsidR="00701C92" w:rsidRPr="00372F6B">
        <w:rPr>
          <w:sz w:val="24"/>
          <w:szCs w:val="24"/>
        </w:rPr>
        <w:br/>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State Directors</w:t>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Child Nutrition Programs</w:t>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All States</w:t>
      </w:r>
    </w:p>
    <w:p w:rsidR="00AF49A9" w:rsidRPr="00372F6B" w:rsidRDefault="00AF49A9" w:rsidP="00701C92">
      <w:pPr>
        <w:rPr>
          <w:sz w:val="24"/>
          <w:szCs w:val="24"/>
        </w:rPr>
      </w:pPr>
    </w:p>
    <w:p w:rsidR="00AF49A9" w:rsidRPr="00372F6B" w:rsidRDefault="00396FE4" w:rsidP="00396FE4">
      <w:pPr>
        <w:pStyle w:val="Default"/>
      </w:pPr>
      <w:r w:rsidRPr="00372F6B">
        <w:t xml:space="preserve">This supersedes the October 8, 2010, version of the policy memo, </w:t>
      </w:r>
      <w:r w:rsidR="009F414C">
        <w:t>“</w:t>
      </w:r>
      <w:r w:rsidRPr="00372F6B">
        <w:t xml:space="preserve">Eligibility of Expanded Learning Time Programs for Afterschool Snack Service in </w:t>
      </w:r>
      <w:r w:rsidR="0017288A">
        <w:t xml:space="preserve">the </w:t>
      </w:r>
      <w:r w:rsidRPr="00372F6B">
        <w:t>NSLP and CACFP</w:t>
      </w:r>
      <w:r w:rsidR="009F414C">
        <w:t>”</w:t>
      </w:r>
      <w:r w:rsidRPr="00372F6B">
        <w:t>.  T</w:t>
      </w:r>
      <w:r w:rsidR="00AF49A9" w:rsidRPr="00372F6B">
        <w:t xml:space="preserve">his </w:t>
      </w:r>
      <w:r w:rsidR="00375B30" w:rsidRPr="00372F6B">
        <w:t xml:space="preserve">revision includes questions and answers that we have </w:t>
      </w:r>
      <w:r w:rsidR="00372F6B" w:rsidRPr="00372F6B">
        <w:t>received</w:t>
      </w:r>
      <w:r w:rsidR="00375B30" w:rsidRPr="00372F6B">
        <w:t xml:space="preserve"> on this policy.  This </w:t>
      </w:r>
      <w:r w:rsidR="00AF49A9" w:rsidRPr="00372F6B">
        <w:t xml:space="preserve">memorandum </w:t>
      </w:r>
      <w:r w:rsidR="00375B30" w:rsidRPr="00372F6B">
        <w:t xml:space="preserve">continues to </w:t>
      </w:r>
      <w:r w:rsidR="00AF49A9" w:rsidRPr="00372F6B">
        <w:t>clarif</w:t>
      </w:r>
      <w:r w:rsidR="00E0312D" w:rsidRPr="00372F6B">
        <w:t>y</w:t>
      </w:r>
      <w:r w:rsidR="00AF49A9" w:rsidRPr="00372F6B">
        <w:t xml:space="preserve"> eligibility requirements for afterschool programs for the afterschool snack components of the NSLP and CACFP.  In particular, we have been asked whether certain expanded day learning programs are eligible for afterschool snack service.  </w:t>
      </w:r>
    </w:p>
    <w:p w:rsidR="00AF49A9" w:rsidRPr="00372F6B" w:rsidRDefault="00AF49A9" w:rsidP="00AF49A9">
      <w:pPr>
        <w:rPr>
          <w:sz w:val="24"/>
          <w:szCs w:val="24"/>
        </w:rPr>
      </w:pPr>
    </w:p>
    <w:p w:rsidR="00AF49A9" w:rsidRPr="00372F6B" w:rsidRDefault="00AF49A9" w:rsidP="00AF49A9">
      <w:pPr>
        <w:rPr>
          <w:color w:val="333333"/>
          <w:sz w:val="24"/>
          <w:szCs w:val="24"/>
        </w:rPr>
      </w:pPr>
      <w:r w:rsidRPr="00372F6B">
        <w:rPr>
          <w:sz w:val="24"/>
          <w:szCs w:val="24"/>
        </w:rPr>
        <w:t xml:space="preserve">The afterschool snack components of the NSLP and CACFP were established in 1998 in the William F. Goodling Child Nutrition Act of 1998 (P.L. 105-336, 42 U.S.C. 1766 and 1766a).  The components were </w:t>
      </w:r>
      <w:r w:rsidR="00787DAD" w:rsidRPr="00372F6B">
        <w:rPr>
          <w:sz w:val="24"/>
          <w:szCs w:val="24"/>
        </w:rPr>
        <w:t xml:space="preserve">established to support programs </w:t>
      </w:r>
      <w:r w:rsidRPr="00372F6B">
        <w:rPr>
          <w:sz w:val="24"/>
          <w:szCs w:val="24"/>
        </w:rPr>
        <w:t>operating afterschool programs with educational and enrichment activities for children in the late afternoon or evening when they might otherwise be unsupervised and engage in risky behaviors.  Program regulations define afterschool care programs as those “providing organized care to enrolled school-age children after school hours for the purpose of c</w:t>
      </w:r>
      <w:r w:rsidR="007534D5">
        <w:rPr>
          <w:sz w:val="24"/>
          <w:szCs w:val="24"/>
        </w:rPr>
        <w:t>are and supervision of children</w:t>
      </w:r>
      <w:r w:rsidRPr="00372F6B">
        <w:rPr>
          <w:sz w:val="24"/>
          <w:szCs w:val="24"/>
        </w:rPr>
        <w:t>” (7 CFR 210.2 and 226.17a(b)).  Recently, educational programs aimed at serving at-risk children have evolved to include schools operating expanded learning times longer than the traditional school day.  “Expanded learning time” is a common term used in the education arena to describe schools or school districts that add significantly more school time for academic and enri</w:t>
      </w:r>
      <w:r w:rsidR="00787DAD" w:rsidRPr="00372F6B">
        <w:rPr>
          <w:sz w:val="24"/>
          <w:szCs w:val="24"/>
        </w:rPr>
        <w:t xml:space="preserve">chment opportunities to improve </w:t>
      </w:r>
      <w:r w:rsidRPr="00372F6B">
        <w:rPr>
          <w:sz w:val="24"/>
          <w:szCs w:val="24"/>
        </w:rPr>
        <w:t>student achievement.</w:t>
      </w:r>
      <w:r w:rsidRPr="00372F6B">
        <w:rPr>
          <w:color w:val="333333"/>
          <w:sz w:val="24"/>
          <w:szCs w:val="24"/>
        </w:rPr>
        <w:t xml:space="preserve">  </w:t>
      </w:r>
    </w:p>
    <w:p w:rsidR="00AF49A9" w:rsidRPr="00372F6B" w:rsidRDefault="00AF49A9" w:rsidP="00AF49A9">
      <w:pPr>
        <w:rPr>
          <w:sz w:val="24"/>
          <w:szCs w:val="24"/>
        </w:rPr>
      </w:pPr>
      <w:r w:rsidRPr="00372F6B">
        <w:rPr>
          <w:sz w:val="24"/>
          <w:szCs w:val="24"/>
        </w:rPr>
        <w:t xml:space="preserve">  </w:t>
      </w:r>
    </w:p>
    <w:p w:rsidR="00AF49A9" w:rsidRPr="00372F6B" w:rsidRDefault="00AF49A9" w:rsidP="00AF49A9">
      <w:pPr>
        <w:rPr>
          <w:sz w:val="24"/>
          <w:szCs w:val="24"/>
        </w:rPr>
      </w:pPr>
      <w:r w:rsidRPr="00372F6B">
        <w:rPr>
          <w:sz w:val="24"/>
          <w:szCs w:val="24"/>
        </w:rPr>
        <w:t>To date, our consideration of</w:t>
      </w:r>
      <w:r w:rsidR="00787DAD" w:rsidRPr="00372F6B">
        <w:rPr>
          <w:sz w:val="24"/>
          <w:szCs w:val="24"/>
        </w:rPr>
        <w:t xml:space="preserve"> </w:t>
      </w:r>
      <w:r w:rsidRPr="00372F6B">
        <w:rPr>
          <w:sz w:val="24"/>
          <w:szCs w:val="24"/>
        </w:rPr>
        <w:t>“afterschool” in implementing the afterschool snack components of the NSLP and CACFP has</w:t>
      </w:r>
      <w:r w:rsidR="008520B4" w:rsidRPr="00372F6B">
        <w:rPr>
          <w:sz w:val="24"/>
          <w:szCs w:val="24"/>
        </w:rPr>
        <w:t xml:space="preserve"> </w:t>
      </w:r>
      <w:r w:rsidRPr="00372F6B">
        <w:rPr>
          <w:sz w:val="24"/>
          <w:szCs w:val="24"/>
        </w:rPr>
        <w:t xml:space="preserve">focused on the nature of the </w:t>
      </w:r>
      <w:r w:rsidRPr="00372F6B">
        <w:rPr>
          <w:i/>
          <w:sz w:val="24"/>
          <w:szCs w:val="24"/>
        </w:rPr>
        <w:t>program</w:t>
      </w:r>
      <w:r w:rsidRPr="00372F6B">
        <w:rPr>
          <w:sz w:val="24"/>
          <w:szCs w:val="24"/>
        </w:rPr>
        <w:t xml:space="preserve"> offered by a participating school or other provider as distinct from a school program (e.g. relationship to the curriculum).  However, given the evolution of educational programs, we think it is reasonable at this time to consider whether such programs may operate longer than the traditional school day as defined by applicable State or local laws and policies.  </w:t>
      </w:r>
    </w:p>
    <w:p w:rsidR="00AF49A9" w:rsidRPr="00372F6B" w:rsidRDefault="00AF49A9" w:rsidP="00AF49A9">
      <w:pPr>
        <w:rPr>
          <w:sz w:val="24"/>
          <w:szCs w:val="24"/>
        </w:rPr>
      </w:pPr>
    </w:p>
    <w:p w:rsidR="00372F6B" w:rsidRDefault="00372F6B" w:rsidP="00396FE4">
      <w:pPr>
        <w:ind w:left="630"/>
        <w:rPr>
          <w:sz w:val="24"/>
          <w:szCs w:val="24"/>
        </w:rPr>
      </w:pPr>
    </w:p>
    <w:p w:rsidR="00372F6B" w:rsidRDefault="00372F6B" w:rsidP="00372F6B">
      <w:pPr>
        <w:ind w:firstLine="630"/>
        <w:rPr>
          <w:sz w:val="24"/>
          <w:szCs w:val="24"/>
        </w:rPr>
      </w:pPr>
      <w:r w:rsidRPr="00372F6B">
        <w:rPr>
          <w:sz w:val="24"/>
          <w:szCs w:val="24"/>
        </w:rPr>
        <w:t>Regional Directors</w:t>
      </w:r>
    </w:p>
    <w:p w:rsidR="009C69F7" w:rsidRPr="00372F6B" w:rsidRDefault="009C69F7" w:rsidP="00372F6B">
      <w:pPr>
        <w:ind w:firstLine="630"/>
        <w:rPr>
          <w:sz w:val="24"/>
          <w:szCs w:val="24"/>
        </w:rPr>
      </w:pPr>
      <w:r>
        <w:rPr>
          <w:sz w:val="24"/>
          <w:szCs w:val="24"/>
        </w:rPr>
        <w:t>State Directors</w:t>
      </w:r>
    </w:p>
    <w:p w:rsidR="00372F6B" w:rsidRPr="00372F6B" w:rsidRDefault="00372F6B" w:rsidP="00372F6B">
      <w:pPr>
        <w:ind w:firstLine="630"/>
        <w:rPr>
          <w:sz w:val="24"/>
          <w:szCs w:val="24"/>
        </w:rPr>
      </w:pPr>
      <w:r w:rsidRPr="00372F6B">
        <w:rPr>
          <w:sz w:val="24"/>
          <w:szCs w:val="24"/>
        </w:rPr>
        <w:t>Page 2</w:t>
      </w:r>
    </w:p>
    <w:p w:rsidR="00372F6B" w:rsidRDefault="00372F6B" w:rsidP="00396FE4">
      <w:pPr>
        <w:ind w:left="630"/>
        <w:rPr>
          <w:sz w:val="24"/>
          <w:szCs w:val="24"/>
        </w:rPr>
      </w:pPr>
    </w:p>
    <w:p w:rsidR="00396FE4" w:rsidRPr="00372F6B" w:rsidRDefault="00AF49A9" w:rsidP="00396FE4">
      <w:pPr>
        <w:ind w:left="630"/>
        <w:rPr>
          <w:sz w:val="24"/>
          <w:szCs w:val="24"/>
        </w:rPr>
      </w:pPr>
      <w:r w:rsidRPr="00372F6B">
        <w:rPr>
          <w:sz w:val="24"/>
          <w:szCs w:val="24"/>
        </w:rPr>
        <w:t xml:space="preserve">Therefore, a school operating longer than the traditional school day may be eligible for afterschool snack reimbursement through </w:t>
      </w:r>
      <w:r w:rsidR="0017288A">
        <w:rPr>
          <w:sz w:val="24"/>
          <w:szCs w:val="24"/>
        </w:rPr>
        <w:t xml:space="preserve">the </w:t>
      </w:r>
      <w:r w:rsidRPr="00372F6B">
        <w:rPr>
          <w:sz w:val="24"/>
          <w:szCs w:val="24"/>
        </w:rPr>
        <w:t xml:space="preserve">NSLP or CACFP, provided that it operates a </w:t>
      </w:r>
    </w:p>
    <w:p w:rsidR="00B83F4C" w:rsidRPr="00372F6B" w:rsidRDefault="00396FE4" w:rsidP="00372F6B">
      <w:pPr>
        <w:ind w:left="630"/>
        <w:rPr>
          <w:sz w:val="24"/>
          <w:szCs w:val="24"/>
        </w:rPr>
      </w:pPr>
      <w:r w:rsidRPr="00372F6B">
        <w:rPr>
          <w:sz w:val="24"/>
          <w:szCs w:val="24"/>
        </w:rPr>
        <w:t>s</w:t>
      </w:r>
      <w:r w:rsidR="00AF49A9" w:rsidRPr="00372F6B">
        <w:rPr>
          <w:sz w:val="24"/>
          <w:szCs w:val="24"/>
        </w:rPr>
        <w:t xml:space="preserve">chool day that is at least one hour longer than the minimum number of school day hours required for the comparable grade levels by the local educational agency in which the </w:t>
      </w:r>
    </w:p>
    <w:p w:rsidR="00AF49A9" w:rsidRPr="00372F6B" w:rsidRDefault="00AF49A9" w:rsidP="00396FE4">
      <w:pPr>
        <w:ind w:left="630"/>
        <w:rPr>
          <w:sz w:val="24"/>
          <w:szCs w:val="24"/>
        </w:rPr>
      </w:pPr>
      <w:r w:rsidRPr="00372F6B">
        <w:rPr>
          <w:sz w:val="24"/>
          <w:szCs w:val="24"/>
        </w:rPr>
        <w:t>school is located.  Thus, in determining an expanded</w:t>
      </w:r>
      <w:r w:rsidR="008520B4" w:rsidRPr="00372F6B">
        <w:rPr>
          <w:sz w:val="24"/>
          <w:szCs w:val="24"/>
        </w:rPr>
        <w:t xml:space="preserve"> learning program’s eligibility </w:t>
      </w:r>
      <w:r w:rsidRPr="00372F6B">
        <w:rPr>
          <w:sz w:val="24"/>
          <w:szCs w:val="24"/>
        </w:rPr>
        <w:t>for reimbursement, a State agency should first use school day hour data fro</w:t>
      </w:r>
      <w:r w:rsidR="00765FB4" w:rsidRPr="00372F6B">
        <w:rPr>
          <w:sz w:val="24"/>
          <w:szCs w:val="24"/>
        </w:rPr>
        <w:t xml:space="preserve">m the particular school’s local </w:t>
      </w:r>
      <w:r w:rsidRPr="00372F6B">
        <w:rPr>
          <w:sz w:val="24"/>
          <w:szCs w:val="24"/>
        </w:rPr>
        <w:t xml:space="preserve">educational agency (LEA) as the standard to determine the minimum number of school day hours </w:t>
      </w:r>
      <w:r w:rsidRPr="00372F6B">
        <w:rPr>
          <w:color w:val="000000"/>
          <w:sz w:val="24"/>
          <w:szCs w:val="24"/>
        </w:rPr>
        <w:t xml:space="preserve">required.  </w:t>
      </w:r>
      <w:r w:rsidRPr="00372F6B">
        <w:rPr>
          <w:iCs/>
          <w:color w:val="000000"/>
          <w:sz w:val="24"/>
          <w:szCs w:val="24"/>
        </w:rPr>
        <w:t>In LEAs in which all schools operate an expanded learning time program, or in single-school LEAs, the State’s average length of the school day or the average length of the school day of surrounding LEAs may be used to determine the standard minimum number of school day hours.</w:t>
      </w:r>
      <w:r w:rsidRPr="00372F6B">
        <w:rPr>
          <w:sz w:val="24"/>
          <w:szCs w:val="24"/>
        </w:rPr>
        <w:t xml:space="preserve">  </w:t>
      </w:r>
    </w:p>
    <w:p w:rsidR="00AF49A9" w:rsidRPr="00372F6B" w:rsidRDefault="00AF49A9" w:rsidP="00396FE4">
      <w:pPr>
        <w:ind w:left="630"/>
        <w:rPr>
          <w:sz w:val="24"/>
          <w:szCs w:val="24"/>
        </w:rPr>
      </w:pPr>
    </w:p>
    <w:p w:rsidR="00AF49A9" w:rsidRPr="00372F6B" w:rsidRDefault="00AF49A9" w:rsidP="00396FE4">
      <w:pPr>
        <w:ind w:left="630"/>
        <w:rPr>
          <w:sz w:val="24"/>
          <w:szCs w:val="24"/>
        </w:rPr>
      </w:pPr>
      <w:r w:rsidRPr="00372F6B">
        <w:rPr>
          <w:sz w:val="24"/>
          <w:szCs w:val="24"/>
        </w:rPr>
        <w:t xml:space="preserve">Please note that the clarification set forth in this memorandum for expanded learning time schools does not change the requirements for determining eligibility for traditional afterschool care programs.  State agencies must continue to make eligibility determinations for these programs based on whether such programs are afterschool care programs with an educational or enrichment purpose, in accordance with regulations and policy previously issued.  </w:t>
      </w:r>
    </w:p>
    <w:p w:rsidR="00AF49A9" w:rsidRPr="00372F6B" w:rsidRDefault="00AF49A9" w:rsidP="00396FE4">
      <w:pPr>
        <w:ind w:left="630"/>
        <w:rPr>
          <w:sz w:val="24"/>
          <w:szCs w:val="24"/>
        </w:rPr>
      </w:pPr>
    </w:p>
    <w:p w:rsidR="00AF49A9" w:rsidRPr="00372F6B" w:rsidRDefault="00AF49A9" w:rsidP="00396FE4">
      <w:pPr>
        <w:ind w:left="630"/>
        <w:rPr>
          <w:sz w:val="24"/>
          <w:szCs w:val="24"/>
        </w:rPr>
      </w:pPr>
      <w:r w:rsidRPr="00372F6B">
        <w:rPr>
          <w:sz w:val="24"/>
          <w:szCs w:val="24"/>
        </w:rPr>
        <w:t xml:space="preserve">Finally, schools operating expanded learning time programs may also be eligible for afterschool supper reimbursement through </w:t>
      </w:r>
      <w:r w:rsidR="0017288A">
        <w:rPr>
          <w:sz w:val="24"/>
          <w:szCs w:val="24"/>
        </w:rPr>
        <w:t xml:space="preserve">the </w:t>
      </w:r>
      <w:r w:rsidRPr="00372F6B">
        <w:rPr>
          <w:sz w:val="24"/>
          <w:szCs w:val="24"/>
        </w:rPr>
        <w:t>CACFP</w:t>
      </w:r>
      <w:r w:rsidR="000B4624">
        <w:rPr>
          <w:sz w:val="24"/>
          <w:szCs w:val="24"/>
        </w:rPr>
        <w:t>.</w:t>
      </w:r>
    </w:p>
    <w:p w:rsidR="00AF49A9" w:rsidRPr="00372F6B" w:rsidRDefault="00AF49A9" w:rsidP="00396FE4">
      <w:pPr>
        <w:ind w:left="630"/>
        <w:rPr>
          <w:sz w:val="24"/>
          <w:szCs w:val="24"/>
        </w:rPr>
      </w:pPr>
    </w:p>
    <w:p w:rsidR="00AF49A9" w:rsidRPr="00372F6B" w:rsidRDefault="00AF49A9" w:rsidP="00396FE4">
      <w:pPr>
        <w:ind w:left="630"/>
        <w:rPr>
          <w:sz w:val="24"/>
          <w:szCs w:val="24"/>
        </w:rPr>
      </w:pPr>
      <w:r w:rsidRPr="00372F6B">
        <w:rPr>
          <w:sz w:val="24"/>
          <w:szCs w:val="24"/>
        </w:rPr>
        <w:t xml:space="preserve">We are requesting that State agencies disseminate this information to their schools and </w:t>
      </w:r>
      <w:r w:rsidR="00B83F4C" w:rsidRPr="00372F6B">
        <w:rPr>
          <w:sz w:val="24"/>
          <w:szCs w:val="24"/>
        </w:rPr>
        <w:t xml:space="preserve">afterschool program community.  </w:t>
      </w:r>
      <w:r w:rsidRPr="00372F6B">
        <w:rPr>
          <w:sz w:val="24"/>
          <w:szCs w:val="24"/>
        </w:rPr>
        <w:t>We understand that State agencies may need to reconsider eligibility determinations for schools that were previously denied participation, and request that this be done</w:t>
      </w:r>
      <w:r w:rsidR="00B83F4C" w:rsidRPr="00372F6B">
        <w:rPr>
          <w:sz w:val="24"/>
          <w:szCs w:val="24"/>
        </w:rPr>
        <w:t xml:space="preserve"> as expeditiously as possible.  </w:t>
      </w:r>
      <w:r w:rsidRPr="00372F6B">
        <w:rPr>
          <w:sz w:val="24"/>
          <w:szCs w:val="24"/>
        </w:rPr>
        <w:t>Please let us know if you have any questions.</w:t>
      </w:r>
    </w:p>
    <w:p w:rsidR="00B83F4C" w:rsidRPr="00372F6B" w:rsidRDefault="00B83F4C" w:rsidP="00396FE4">
      <w:pPr>
        <w:ind w:left="630"/>
        <w:rPr>
          <w:sz w:val="24"/>
          <w:szCs w:val="24"/>
        </w:rPr>
      </w:pPr>
    </w:p>
    <w:p w:rsidR="00B83F4C" w:rsidRPr="00372F6B" w:rsidRDefault="00464246" w:rsidP="00396FE4">
      <w:pPr>
        <w:ind w:left="630"/>
        <w:rPr>
          <w:sz w:val="24"/>
          <w:szCs w:val="24"/>
        </w:rPr>
      </w:pPr>
      <w:r>
        <w:rPr>
          <w:noProof/>
          <w:sz w:val="24"/>
          <w:szCs w:val="24"/>
        </w:rPr>
        <w:drawing>
          <wp:inline distT="0" distB="0" distL="0" distR="0">
            <wp:extent cx="2279650" cy="811530"/>
            <wp:effectExtent l="19050" t="0" r="6350" b="0"/>
            <wp:docPr id="1" name="Picture 1" descr="Melis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ssa signature"/>
                    <pic:cNvPicPr>
                      <a:picLocks noChangeAspect="1" noChangeArrowheads="1"/>
                    </pic:cNvPicPr>
                  </pic:nvPicPr>
                  <pic:blipFill>
                    <a:blip r:embed="rId13" cstate="print"/>
                    <a:srcRect/>
                    <a:stretch>
                      <a:fillRect/>
                    </a:stretch>
                  </pic:blipFill>
                  <pic:spPr bwMode="auto">
                    <a:xfrm>
                      <a:off x="0" y="0"/>
                      <a:ext cx="2279650" cy="811530"/>
                    </a:xfrm>
                    <a:prstGeom prst="rect">
                      <a:avLst/>
                    </a:prstGeom>
                    <a:noFill/>
                    <a:ln w="9525">
                      <a:noFill/>
                      <a:miter lim="800000"/>
                      <a:headEnd/>
                      <a:tailEnd/>
                    </a:ln>
                  </pic:spPr>
                </pic:pic>
              </a:graphicData>
            </a:graphic>
          </wp:inline>
        </w:drawing>
      </w:r>
    </w:p>
    <w:p w:rsidR="00B83F4C" w:rsidRPr="00372F6B" w:rsidRDefault="00B83F4C" w:rsidP="00396FE4">
      <w:pPr>
        <w:ind w:left="630"/>
        <w:rPr>
          <w:sz w:val="24"/>
          <w:szCs w:val="24"/>
        </w:rPr>
      </w:pPr>
    </w:p>
    <w:p w:rsidR="00AF49A9" w:rsidRPr="00372F6B" w:rsidRDefault="003919BD" w:rsidP="00396FE4">
      <w:pPr>
        <w:ind w:left="630"/>
        <w:rPr>
          <w:sz w:val="24"/>
          <w:szCs w:val="24"/>
        </w:rPr>
      </w:pPr>
      <w:r>
        <w:rPr>
          <w:sz w:val="24"/>
          <w:szCs w:val="24"/>
        </w:rPr>
        <w:t xml:space="preserve">for </w:t>
      </w:r>
      <w:r w:rsidR="008563DE">
        <w:rPr>
          <w:sz w:val="24"/>
          <w:szCs w:val="24"/>
        </w:rPr>
        <w:t>Cynthia</w:t>
      </w:r>
      <w:r w:rsidR="00AF49A9" w:rsidRPr="00372F6B">
        <w:rPr>
          <w:sz w:val="24"/>
          <w:szCs w:val="24"/>
        </w:rPr>
        <w:t xml:space="preserve"> Long</w:t>
      </w:r>
    </w:p>
    <w:p w:rsidR="00AF49A9" w:rsidRPr="00372F6B" w:rsidRDefault="00AF49A9" w:rsidP="00396FE4">
      <w:pPr>
        <w:ind w:left="630"/>
        <w:rPr>
          <w:sz w:val="24"/>
          <w:szCs w:val="24"/>
        </w:rPr>
      </w:pPr>
      <w:r w:rsidRPr="00372F6B">
        <w:rPr>
          <w:sz w:val="24"/>
          <w:szCs w:val="24"/>
        </w:rPr>
        <w:t>Director</w:t>
      </w:r>
    </w:p>
    <w:p w:rsidR="00791EB8" w:rsidRPr="00372F6B" w:rsidRDefault="00AF49A9" w:rsidP="00396FE4">
      <w:pPr>
        <w:ind w:left="630"/>
        <w:rPr>
          <w:sz w:val="24"/>
          <w:szCs w:val="24"/>
        </w:rPr>
      </w:pPr>
      <w:r w:rsidRPr="00372F6B">
        <w:rPr>
          <w:sz w:val="24"/>
          <w:szCs w:val="24"/>
        </w:rPr>
        <w:t>Child Nutrition Division</w:t>
      </w:r>
    </w:p>
    <w:p w:rsidR="00372F6B" w:rsidRPr="00372F6B" w:rsidRDefault="00372F6B">
      <w:pPr>
        <w:rPr>
          <w:sz w:val="24"/>
          <w:szCs w:val="24"/>
        </w:rPr>
      </w:pPr>
    </w:p>
    <w:p w:rsidR="001808BD" w:rsidRDefault="00372F6B" w:rsidP="00372F6B">
      <w:pPr>
        <w:autoSpaceDE w:val="0"/>
        <w:autoSpaceDN w:val="0"/>
        <w:ind w:left="630"/>
        <w:rPr>
          <w:sz w:val="24"/>
          <w:szCs w:val="24"/>
        </w:rPr>
      </w:pPr>
      <w:r w:rsidRPr="00372F6B">
        <w:rPr>
          <w:sz w:val="24"/>
          <w:szCs w:val="24"/>
        </w:rPr>
        <w:t>Attachment</w:t>
      </w:r>
    </w:p>
    <w:p w:rsidR="001808BD" w:rsidRDefault="001808BD">
      <w:pPr>
        <w:rPr>
          <w:sz w:val="24"/>
          <w:szCs w:val="24"/>
        </w:rPr>
      </w:pPr>
      <w:r>
        <w:rPr>
          <w:sz w:val="24"/>
          <w:szCs w:val="24"/>
        </w:rPr>
        <w:br w:type="page"/>
      </w:r>
    </w:p>
    <w:p w:rsidR="00396FE4" w:rsidRPr="00372F6B" w:rsidRDefault="00396FE4" w:rsidP="00396FE4">
      <w:pPr>
        <w:autoSpaceDE w:val="0"/>
        <w:autoSpaceDN w:val="0"/>
        <w:ind w:firstLine="360"/>
        <w:jc w:val="center"/>
        <w:rPr>
          <w:b/>
          <w:color w:val="000000"/>
          <w:sz w:val="24"/>
          <w:szCs w:val="24"/>
        </w:rPr>
      </w:pPr>
      <w:r w:rsidRPr="00372F6B">
        <w:rPr>
          <w:b/>
          <w:color w:val="000000"/>
          <w:sz w:val="24"/>
          <w:szCs w:val="24"/>
        </w:rPr>
        <w:t xml:space="preserve">Q&amp;As:  </w:t>
      </w:r>
      <w:r w:rsidRPr="00372F6B">
        <w:rPr>
          <w:b/>
          <w:sz w:val="24"/>
          <w:szCs w:val="24"/>
        </w:rPr>
        <w:t xml:space="preserve">Eligibility of Expanded Learning Time Programs for Afterschool Snack Service in </w:t>
      </w:r>
      <w:r w:rsidR="006C7DCF">
        <w:rPr>
          <w:b/>
          <w:sz w:val="24"/>
          <w:szCs w:val="24"/>
        </w:rPr>
        <w:t xml:space="preserve">the </w:t>
      </w:r>
      <w:r w:rsidRPr="00372F6B">
        <w:rPr>
          <w:b/>
          <w:sz w:val="24"/>
          <w:szCs w:val="24"/>
        </w:rPr>
        <w:t>NSLP and CACFP</w:t>
      </w:r>
    </w:p>
    <w:p w:rsidR="00396FE4" w:rsidRPr="00372F6B" w:rsidRDefault="00396FE4" w:rsidP="00396FE4">
      <w:pPr>
        <w:autoSpaceDE w:val="0"/>
        <w:autoSpaceDN w:val="0"/>
        <w:rPr>
          <w:color w:val="000000"/>
          <w:sz w:val="24"/>
          <w:szCs w:val="24"/>
        </w:rPr>
      </w:pPr>
    </w:p>
    <w:p w:rsidR="00396FE4" w:rsidRPr="00372F6B" w:rsidRDefault="00646AC6" w:rsidP="00396FE4">
      <w:pPr>
        <w:pStyle w:val="ListParagraph"/>
        <w:numPr>
          <w:ilvl w:val="0"/>
          <w:numId w:val="24"/>
        </w:numPr>
        <w:rPr>
          <w:rFonts w:ascii="Times New Roman" w:hAnsi="Times New Roman"/>
          <w:b/>
          <w:color w:val="000000"/>
          <w:sz w:val="24"/>
          <w:szCs w:val="24"/>
        </w:rPr>
      </w:pPr>
      <w:r w:rsidRPr="00372F6B">
        <w:rPr>
          <w:rFonts w:ascii="Times New Roman" w:hAnsi="Times New Roman"/>
          <w:b/>
          <w:bCs/>
          <w:color w:val="000000"/>
          <w:sz w:val="24"/>
          <w:szCs w:val="24"/>
        </w:rPr>
        <w:t>Are</w:t>
      </w:r>
      <w:r w:rsidR="00396FE4" w:rsidRPr="00372F6B">
        <w:rPr>
          <w:rFonts w:ascii="Times New Roman" w:hAnsi="Times New Roman"/>
          <w:b/>
          <w:bCs/>
          <w:color w:val="000000"/>
          <w:sz w:val="24"/>
          <w:szCs w:val="24"/>
        </w:rPr>
        <w:t xml:space="preserve"> districts that have moved to a </w:t>
      </w:r>
      <w:r w:rsidR="00AB6244">
        <w:rPr>
          <w:rFonts w:ascii="Times New Roman" w:hAnsi="Times New Roman"/>
          <w:b/>
          <w:bCs/>
          <w:color w:val="000000"/>
          <w:sz w:val="24"/>
          <w:szCs w:val="24"/>
        </w:rPr>
        <w:t>four</w:t>
      </w:r>
      <w:r w:rsidR="00396FE4" w:rsidRPr="00372F6B">
        <w:rPr>
          <w:rFonts w:ascii="Times New Roman" w:hAnsi="Times New Roman"/>
          <w:b/>
          <w:bCs/>
          <w:color w:val="000000"/>
          <w:sz w:val="24"/>
          <w:szCs w:val="24"/>
        </w:rPr>
        <w:t xml:space="preserve">-day week eligible if their hours are over the average of a </w:t>
      </w:r>
      <w:r w:rsidR="00AB6244">
        <w:rPr>
          <w:rFonts w:ascii="Times New Roman" w:hAnsi="Times New Roman"/>
          <w:b/>
          <w:bCs/>
          <w:color w:val="000000"/>
          <w:sz w:val="24"/>
          <w:szCs w:val="24"/>
        </w:rPr>
        <w:t>five</w:t>
      </w:r>
      <w:r w:rsidR="00396FE4" w:rsidRPr="00372F6B">
        <w:rPr>
          <w:rFonts w:ascii="Times New Roman" w:hAnsi="Times New Roman"/>
          <w:b/>
          <w:bCs/>
          <w:color w:val="000000"/>
          <w:sz w:val="24"/>
          <w:szCs w:val="24"/>
        </w:rPr>
        <w:t xml:space="preserve"> day a week school? </w:t>
      </w:r>
    </w:p>
    <w:p w:rsidR="00396FE4" w:rsidRPr="00372F6B" w:rsidRDefault="00A75572" w:rsidP="00372F6B">
      <w:pPr>
        <w:autoSpaceDE w:val="0"/>
        <w:autoSpaceDN w:val="0"/>
        <w:ind w:left="720"/>
        <w:rPr>
          <w:color w:val="000000"/>
          <w:sz w:val="24"/>
          <w:szCs w:val="24"/>
        </w:rPr>
      </w:pPr>
      <w:r w:rsidRPr="00372F6B">
        <w:rPr>
          <w:color w:val="000000"/>
          <w:sz w:val="24"/>
          <w:szCs w:val="24"/>
        </w:rPr>
        <w:t>The district may be eligible</w:t>
      </w:r>
      <w:r w:rsidR="00396FE4" w:rsidRPr="00372F6B">
        <w:rPr>
          <w:color w:val="000000"/>
          <w:sz w:val="24"/>
          <w:szCs w:val="24"/>
        </w:rPr>
        <w:t>.  As stated in the memo</w:t>
      </w:r>
      <w:r w:rsidR="00246CE8">
        <w:rPr>
          <w:color w:val="000000"/>
          <w:sz w:val="24"/>
          <w:szCs w:val="24"/>
        </w:rPr>
        <w:t>,</w:t>
      </w:r>
      <w:r w:rsidR="00396FE4" w:rsidRPr="00372F6B">
        <w:rPr>
          <w:color w:val="000000"/>
          <w:sz w:val="24"/>
          <w:szCs w:val="24"/>
        </w:rPr>
        <w:t xml:space="preserve"> “In LEAs in which all schools operate an expanded learning time program, or in single-school LEAs, the State’s average length of the school day or the average length of the school day of surrounding LEAs may be used to determine the standard minimum number of school day hours.”  So, if a district</w:t>
      </w:r>
      <w:r w:rsidR="001557A3">
        <w:rPr>
          <w:color w:val="000000"/>
          <w:sz w:val="24"/>
          <w:szCs w:val="24"/>
        </w:rPr>
        <w:t>’</w:t>
      </w:r>
      <w:r w:rsidR="00396FE4" w:rsidRPr="00372F6B">
        <w:rPr>
          <w:color w:val="000000"/>
          <w:sz w:val="24"/>
          <w:szCs w:val="24"/>
        </w:rPr>
        <w:t xml:space="preserve">s change to a four day school week increases the school day at least one hour longer then the State’s average school day or the school day of surrounding LEAs, the district is eligible for afterschool snacks. </w:t>
      </w:r>
    </w:p>
    <w:p w:rsidR="00396FE4" w:rsidRPr="00372F6B" w:rsidRDefault="00396FE4" w:rsidP="00396FE4">
      <w:pPr>
        <w:autoSpaceDE w:val="0"/>
        <w:autoSpaceDN w:val="0"/>
        <w:rPr>
          <w:color w:val="000000"/>
          <w:sz w:val="24"/>
          <w:szCs w:val="24"/>
        </w:rPr>
      </w:pPr>
    </w:p>
    <w:p w:rsidR="00396FE4" w:rsidRPr="00372F6B" w:rsidRDefault="00396FE4" w:rsidP="00396FE4">
      <w:pPr>
        <w:pStyle w:val="ListParagraph"/>
        <w:numPr>
          <w:ilvl w:val="0"/>
          <w:numId w:val="24"/>
        </w:numPr>
        <w:autoSpaceDE w:val="0"/>
        <w:autoSpaceDN w:val="0"/>
        <w:rPr>
          <w:rFonts w:ascii="Times New Roman" w:hAnsi="Times New Roman"/>
          <w:b/>
          <w:bCs/>
          <w:color w:val="000000"/>
          <w:sz w:val="24"/>
          <w:szCs w:val="24"/>
        </w:rPr>
      </w:pPr>
      <w:r w:rsidRPr="00372F6B">
        <w:rPr>
          <w:rFonts w:ascii="Times New Roman" w:hAnsi="Times New Roman"/>
          <w:b/>
          <w:bCs/>
          <w:color w:val="000000"/>
          <w:sz w:val="24"/>
          <w:szCs w:val="24"/>
        </w:rPr>
        <w:t>Does the State need to establish (length of school</w:t>
      </w:r>
      <w:r w:rsidR="00AB6244">
        <w:rPr>
          <w:rFonts w:ascii="Times New Roman" w:hAnsi="Times New Roman"/>
          <w:b/>
          <w:bCs/>
          <w:color w:val="000000"/>
          <w:sz w:val="24"/>
          <w:szCs w:val="24"/>
        </w:rPr>
        <w:t xml:space="preserve"> day) averages differently for four day weeks versus five</w:t>
      </w:r>
      <w:r w:rsidRPr="00372F6B">
        <w:rPr>
          <w:rFonts w:ascii="Times New Roman" w:hAnsi="Times New Roman"/>
          <w:b/>
          <w:bCs/>
          <w:color w:val="000000"/>
          <w:sz w:val="24"/>
          <w:szCs w:val="24"/>
        </w:rPr>
        <w:t xml:space="preserve"> day weeks?  </w:t>
      </w:r>
    </w:p>
    <w:p w:rsidR="00396FE4" w:rsidRPr="00372F6B" w:rsidRDefault="00396FE4" w:rsidP="00396FE4">
      <w:pPr>
        <w:pStyle w:val="ListParagraph"/>
        <w:rPr>
          <w:rFonts w:ascii="Times New Roman" w:hAnsi="Times New Roman"/>
          <w:color w:val="000000"/>
          <w:sz w:val="24"/>
          <w:szCs w:val="24"/>
        </w:rPr>
      </w:pPr>
      <w:r w:rsidRPr="00372F6B">
        <w:rPr>
          <w:rFonts w:ascii="Times New Roman" w:hAnsi="Times New Roman"/>
          <w:color w:val="000000"/>
          <w:sz w:val="24"/>
          <w:szCs w:val="24"/>
        </w:rPr>
        <w:t xml:space="preserve">The State does not need to establish different length of school day averages for </w:t>
      </w:r>
      <w:r w:rsidR="00AB6244">
        <w:rPr>
          <w:rFonts w:ascii="Times New Roman" w:hAnsi="Times New Roman"/>
          <w:color w:val="000000"/>
          <w:sz w:val="24"/>
          <w:szCs w:val="24"/>
        </w:rPr>
        <w:t>four</w:t>
      </w:r>
      <w:r w:rsidRPr="00372F6B">
        <w:rPr>
          <w:rFonts w:ascii="Times New Roman" w:hAnsi="Times New Roman"/>
          <w:color w:val="000000"/>
          <w:sz w:val="24"/>
          <w:szCs w:val="24"/>
        </w:rPr>
        <w:t xml:space="preserve"> and </w:t>
      </w:r>
      <w:r w:rsidR="00AB6244">
        <w:rPr>
          <w:rFonts w:ascii="Times New Roman" w:hAnsi="Times New Roman"/>
          <w:color w:val="000000"/>
          <w:sz w:val="24"/>
          <w:szCs w:val="24"/>
        </w:rPr>
        <w:t xml:space="preserve">five </w:t>
      </w:r>
      <w:r w:rsidRPr="00372F6B">
        <w:rPr>
          <w:rFonts w:ascii="Times New Roman" w:hAnsi="Times New Roman"/>
          <w:color w:val="000000"/>
          <w:sz w:val="24"/>
          <w:szCs w:val="24"/>
        </w:rPr>
        <w:t xml:space="preserve">day a week schools.  Nor do we require the </w:t>
      </w:r>
      <w:r w:rsidR="00A75572" w:rsidRPr="00372F6B">
        <w:rPr>
          <w:rFonts w:ascii="Times New Roman" w:hAnsi="Times New Roman"/>
          <w:color w:val="000000"/>
          <w:sz w:val="24"/>
          <w:szCs w:val="24"/>
        </w:rPr>
        <w:t>S</w:t>
      </w:r>
      <w:r w:rsidRPr="00372F6B">
        <w:rPr>
          <w:rFonts w:ascii="Times New Roman" w:hAnsi="Times New Roman"/>
          <w:color w:val="000000"/>
          <w:sz w:val="24"/>
          <w:szCs w:val="24"/>
        </w:rPr>
        <w:t xml:space="preserve">tate to establish averages for schools.  </w:t>
      </w:r>
    </w:p>
    <w:p w:rsidR="00396FE4" w:rsidRPr="00372F6B" w:rsidRDefault="00396FE4" w:rsidP="00396FE4">
      <w:pPr>
        <w:autoSpaceDE w:val="0"/>
        <w:autoSpaceDN w:val="0"/>
        <w:rPr>
          <w:color w:val="000000"/>
          <w:sz w:val="24"/>
          <w:szCs w:val="24"/>
        </w:rPr>
      </w:pPr>
    </w:p>
    <w:p w:rsidR="00396FE4" w:rsidRPr="00372F6B" w:rsidRDefault="00396FE4" w:rsidP="00396FE4">
      <w:pPr>
        <w:pStyle w:val="ListParagraph"/>
        <w:numPr>
          <w:ilvl w:val="0"/>
          <w:numId w:val="24"/>
        </w:numPr>
        <w:autoSpaceDE w:val="0"/>
        <w:autoSpaceDN w:val="0"/>
        <w:rPr>
          <w:rFonts w:ascii="Times New Roman" w:hAnsi="Times New Roman"/>
          <w:b/>
          <w:bCs/>
          <w:color w:val="000000"/>
          <w:sz w:val="24"/>
          <w:szCs w:val="24"/>
        </w:rPr>
      </w:pPr>
      <w:r w:rsidRPr="00372F6B">
        <w:rPr>
          <w:rFonts w:ascii="Times New Roman" w:hAnsi="Times New Roman"/>
          <w:b/>
          <w:bCs/>
          <w:color w:val="000000"/>
          <w:sz w:val="24"/>
          <w:szCs w:val="24"/>
        </w:rPr>
        <w:t>Should the State establish separate (length of school day) averages for elementary and secondary schools? </w:t>
      </w:r>
    </w:p>
    <w:p w:rsidR="00396FE4" w:rsidRPr="00372F6B" w:rsidRDefault="00396FE4" w:rsidP="00396FE4">
      <w:pPr>
        <w:pStyle w:val="ListParagraph"/>
        <w:autoSpaceDE w:val="0"/>
        <w:autoSpaceDN w:val="0"/>
        <w:rPr>
          <w:rFonts w:ascii="Times New Roman" w:hAnsi="Times New Roman"/>
          <w:color w:val="000000"/>
          <w:sz w:val="24"/>
          <w:szCs w:val="24"/>
        </w:rPr>
      </w:pPr>
      <w:r w:rsidRPr="00372F6B">
        <w:rPr>
          <w:rFonts w:ascii="Times New Roman" w:hAnsi="Times New Roman"/>
          <w:color w:val="000000"/>
          <w:sz w:val="24"/>
          <w:szCs w:val="24"/>
        </w:rPr>
        <w:t>In order for a school to be eligible</w:t>
      </w:r>
      <w:r w:rsidRPr="00372F6B">
        <w:rPr>
          <w:rFonts w:ascii="Times New Roman" w:hAnsi="Times New Roman"/>
          <w:b/>
          <w:bCs/>
          <w:color w:val="000000"/>
          <w:sz w:val="24"/>
          <w:szCs w:val="24"/>
        </w:rPr>
        <w:t xml:space="preserve"> </w:t>
      </w:r>
      <w:r w:rsidRPr="00372F6B">
        <w:rPr>
          <w:rFonts w:ascii="Times New Roman" w:hAnsi="Times New Roman"/>
          <w:color w:val="000000"/>
          <w:sz w:val="24"/>
          <w:szCs w:val="24"/>
        </w:rPr>
        <w:t xml:space="preserve">it must “operate a school day that is at least one hour longer than the minimum number of school day hours required for the comparable grade levels by the local educational agency in which the school is located”.  If the State has a minimum number of hours per day set for schools, the school day should be as compared to similar grade levels.  Again, the State does not have to establish these and can use the hours from neighboring LEAs.  </w:t>
      </w:r>
    </w:p>
    <w:p w:rsidR="00396FE4" w:rsidRPr="00372F6B" w:rsidRDefault="00396FE4" w:rsidP="00396FE4">
      <w:pPr>
        <w:autoSpaceDE w:val="0"/>
        <w:autoSpaceDN w:val="0"/>
        <w:rPr>
          <w:color w:val="000000"/>
          <w:sz w:val="24"/>
          <w:szCs w:val="24"/>
        </w:rPr>
      </w:pPr>
    </w:p>
    <w:p w:rsidR="00396FE4" w:rsidRPr="00372F6B" w:rsidRDefault="00396FE4" w:rsidP="00396FE4">
      <w:pPr>
        <w:pStyle w:val="PlainText"/>
        <w:numPr>
          <w:ilvl w:val="0"/>
          <w:numId w:val="24"/>
        </w:numPr>
        <w:rPr>
          <w:rFonts w:ascii="Times New Roman" w:hAnsi="Times New Roman"/>
          <w:b/>
          <w:bCs/>
          <w:color w:val="000000"/>
          <w:sz w:val="24"/>
          <w:szCs w:val="24"/>
        </w:rPr>
      </w:pPr>
      <w:r w:rsidRPr="00372F6B">
        <w:rPr>
          <w:rFonts w:ascii="Times New Roman" w:hAnsi="Times New Roman"/>
          <w:b/>
          <w:bCs/>
          <w:color w:val="000000"/>
          <w:sz w:val="24"/>
          <w:szCs w:val="24"/>
        </w:rPr>
        <w:t>A State has begun reclaiming funds from a school/district that claimed snacks during an extended day program previously understood to be ineligible, but eligible under this new memo.  Will this memo allow the</w:t>
      </w:r>
      <w:r w:rsidR="00A75572" w:rsidRPr="00372F6B">
        <w:rPr>
          <w:rFonts w:ascii="Times New Roman" w:hAnsi="Times New Roman"/>
          <w:b/>
          <w:bCs/>
          <w:color w:val="000000"/>
          <w:sz w:val="24"/>
          <w:szCs w:val="24"/>
        </w:rPr>
        <w:t xml:space="preserve"> State</w:t>
      </w:r>
      <w:r w:rsidRPr="00372F6B">
        <w:rPr>
          <w:rFonts w:ascii="Times New Roman" w:hAnsi="Times New Roman"/>
          <w:b/>
          <w:bCs/>
          <w:color w:val="000000"/>
          <w:sz w:val="24"/>
          <w:szCs w:val="24"/>
        </w:rPr>
        <w:t xml:space="preserve"> to disregard the reclaim?</w:t>
      </w:r>
    </w:p>
    <w:p w:rsidR="00396FE4" w:rsidRPr="00372F6B" w:rsidRDefault="00396FE4" w:rsidP="00396FE4">
      <w:pPr>
        <w:pStyle w:val="PlainText"/>
        <w:ind w:left="720"/>
        <w:rPr>
          <w:rFonts w:ascii="Times New Roman" w:hAnsi="Times New Roman"/>
          <w:color w:val="000000"/>
          <w:sz w:val="24"/>
          <w:szCs w:val="24"/>
        </w:rPr>
      </w:pPr>
      <w:r w:rsidRPr="00372F6B">
        <w:rPr>
          <w:rFonts w:ascii="Times New Roman" w:hAnsi="Times New Roman"/>
          <w:color w:val="000000"/>
          <w:sz w:val="24"/>
          <w:szCs w:val="24"/>
        </w:rPr>
        <w:t>Yes, the State may choose to disregard this claim</w:t>
      </w:r>
      <w:r w:rsidR="00246CE8">
        <w:rPr>
          <w:rFonts w:ascii="Times New Roman" w:hAnsi="Times New Roman"/>
          <w:color w:val="000000"/>
          <w:sz w:val="24"/>
          <w:szCs w:val="24"/>
        </w:rPr>
        <w:t>.</w:t>
      </w:r>
      <w:r w:rsidR="00CC6C58">
        <w:rPr>
          <w:rFonts w:ascii="Times New Roman" w:hAnsi="Times New Roman"/>
          <w:color w:val="000000"/>
          <w:sz w:val="24"/>
          <w:szCs w:val="24"/>
        </w:rPr>
        <w:t xml:space="preserve">  </w:t>
      </w:r>
      <w:r w:rsidRPr="00372F6B">
        <w:rPr>
          <w:rFonts w:ascii="Times New Roman" w:hAnsi="Times New Roman"/>
          <w:color w:val="000000"/>
          <w:sz w:val="24"/>
          <w:szCs w:val="24"/>
        </w:rPr>
        <w:t xml:space="preserve">The State may also choose to continue with the claim because the policy has changed and the violation occurred under the previous policy.    </w:t>
      </w:r>
    </w:p>
    <w:p w:rsidR="00396FE4" w:rsidRPr="00372F6B" w:rsidRDefault="00396FE4" w:rsidP="00396FE4">
      <w:pPr>
        <w:pStyle w:val="PlainText"/>
        <w:ind w:left="720"/>
        <w:rPr>
          <w:rFonts w:ascii="Times New Roman" w:hAnsi="Times New Roman"/>
          <w:b/>
          <w:color w:val="000000"/>
          <w:sz w:val="24"/>
          <w:szCs w:val="24"/>
        </w:rPr>
      </w:pPr>
    </w:p>
    <w:p w:rsidR="00396FE4" w:rsidRPr="00372F6B" w:rsidRDefault="00396FE4" w:rsidP="00396FE4">
      <w:pPr>
        <w:pStyle w:val="ListParagraph"/>
        <w:numPr>
          <w:ilvl w:val="0"/>
          <w:numId w:val="24"/>
        </w:numPr>
        <w:rPr>
          <w:rFonts w:ascii="Times New Roman" w:hAnsi="Times New Roman"/>
          <w:b/>
          <w:color w:val="000000"/>
          <w:sz w:val="24"/>
          <w:szCs w:val="24"/>
        </w:rPr>
      </w:pPr>
      <w:r w:rsidRPr="00372F6B">
        <w:rPr>
          <w:rFonts w:ascii="Times New Roman" w:hAnsi="Times New Roman"/>
          <w:b/>
          <w:color w:val="000000"/>
          <w:sz w:val="24"/>
          <w:szCs w:val="24"/>
        </w:rPr>
        <w:t xml:space="preserve">Does this policy apply to RCCIs?  </w:t>
      </w:r>
    </w:p>
    <w:p w:rsidR="00372F6B" w:rsidRPr="00372F6B" w:rsidRDefault="00396FE4" w:rsidP="00372F6B">
      <w:pPr>
        <w:pStyle w:val="ListParagraph"/>
        <w:rPr>
          <w:rFonts w:ascii="Times New Roman" w:hAnsi="Times New Roman"/>
          <w:color w:val="000000"/>
          <w:sz w:val="24"/>
          <w:szCs w:val="24"/>
        </w:rPr>
      </w:pPr>
      <w:r w:rsidRPr="00372F6B">
        <w:rPr>
          <w:rFonts w:ascii="Times New Roman" w:hAnsi="Times New Roman"/>
          <w:color w:val="000000"/>
          <w:sz w:val="24"/>
          <w:szCs w:val="24"/>
        </w:rPr>
        <w:t>Yes.</w:t>
      </w:r>
      <w:r w:rsidR="00B5146D">
        <w:rPr>
          <w:rFonts w:ascii="Times New Roman" w:hAnsi="Times New Roman"/>
          <w:color w:val="000000"/>
          <w:sz w:val="24"/>
          <w:szCs w:val="24"/>
        </w:rPr>
        <w:t xml:space="preserve">  RCCIs that serve an afterschool snack may serve this snack during school hours provided they meet the requirements.  </w:t>
      </w:r>
      <w:r w:rsidR="00F474F5">
        <w:rPr>
          <w:rFonts w:ascii="Times New Roman" w:hAnsi="Times New Roman"/>
          <w:color w:val="000000"/>
          <w:sz w:val="24"/>
          <w:szCs w:val="24"/>
        </w:rPr>
        <w:t xml:space="preserve">If snack is served at </w:t>
      </w:r>
      <w:r w:rsidR="00CC6C58">
        <w:rPr>
          <w:rFonts w:ascii="Times New Roman" w:hAnsi="Times New Roman"/>
          <w:color w:val="000000"/>
          <w:sz w:val="24"/>
          <w:szCs w:val="24"/>
        </w:rPr>
        <w:t>multiple</w:t>
      </w:r>
      <w:r w:rsidR="00F474F5">
        <w:rPr>
          <w:rFonts w:ascii="Times New Roman" w:hAnsi="Times New Roman"/>
          <w:color w:val="000000"/>
          <w:sz w:val="24"/>
          <w:szCs w:val="24"/>
        </w:rPr>
        <w:t xml:space="preserve"> times, </w:t>
      </w:r>
      <w:r w:rsidR="001123D2">
        <w:rPr>
          <w:rFonts w:ascii="Times New Roman" w:hAnsi="Times New Roman"/>
          <w:color w:val="000000"/>
          <w:sz w:val="24"/>
          <w:szCs w:val="24"/>
        </w:rPr>
        <w:t xml:space="preserve">care must be taken to assure only one snack per child is reimbursed.  </w:t>
      </w:r>
    </w:p>
    <w:p w:rsidR="00372F6B" w:rsidRDefault="00372F6B" w:rsidP="00372F6B">
      <w:pPr>
        <w:pStyle w:val="ListParagraph"/>
        <w:rPr>
          <w:rFonts w:ascii="Times New Roman" w:hAnsi="Times New Roman"/>
          <w:color w:val="000000"/>
          <w:sz w:val="24"/>
          <w:szCs w:val="24"/>
        </w:rPr>
      </w:pPr>
    </w:p>
    <w:p w:rsidR="008563DE" w:rsidRPr="008563DE" w:rsidRDefault="008A10EF" w:rsidP="00AA7318">
      <w:pPr>
        <w:pStyle w:val="ListParagraph"/>
        <w:numPr>
          <w:ilvl w:val="0"/>
          <w:numId w:val="24"/>
        </w:numPr>
        <w:rPr>
          <w:rFonts w:ascii="Times New Roman" w:hAnsi="Times New Roman"/>
          <w:color w:val="000000"/>
          <w:sz w:val="24"/>
          <w:szCs w:val="24"/>
        </w:rPr>
      </w:pPr>
      <w:r w:rsidRPr="008563DE">
        <w:rPr>
          <w:rFonts w:ascii="Times New Roman" w:hAnsi="Times New Roman"/>
          <w:b/>
          <w:color w:val="000000"/>
          <w:sz w:val="24"/>
          <w:szCs w:val="24"/>
        </w:rPr>
        <w:t xml:space="preserve">If a school </w:t>
      </w:r>
      <w:r w:rsidR="00AA7318" w:rsidRPr="008563DE">
        <w:rPr>
          <w:rFonts w:ascii="Times New Roman" w:hAnsi="Times New Roman"/>
          <w:b/>
          <w:color w:val="000000"/>
          <w:sz w:val="24"/>
          <w:szCs w:val="24"/>
        </w:rPr>
        <w:t>extend</w:t>
      </w:r>
      <w:r w:rsidRPr="008563DE">
        <w:rPr>
          <w:rFonts w:ascii="Times New Roman" w:hAnsi="Times New Roman"/>
          <w:b/>
          <w:color w:val="000000"/>
          <w:sz w:val="24"/>
          <w:szCs w:val="24"/>
        </w:rPr>
        <w:t>s the</w:t>
      </w:r>
      <w:r w:rsidR="00AA7318" w:rsidRPr="008563DE">
        <w:rPr>
          <w:rFonts w:ascii="Times New Roman" w:hAnsi="Times New Roman"/>
          <w:b/>
          <w:color w:val="000000"/>
          <w:sz w:val="24"/>
          <w:szCs w:val="24"/>
        </w:rPr>
        <w:t>ir school day for two weeks before exams, are they eligible for a snack?</w:t>
      </w:r>
    </w:p>
    <w:p w:rsidR="00AA7318" w:rsidRPr="008563DE" w:rsidRDefault="000F5C2D" w:rsidP="002F660E">
      <w:pPr>
        <w:pStyle w:val="ListParagraph"/>
        <w:rPr>
          <w:rFonts w:ascii="Times New Roman" w:hAnsi="Times New Roman"/>
          <w:color w:val="000000"/>
          <w:sz w:val="24"/>
          <w:szCs w:val="24"/>
        </w:rPr>
      </w:pPr>
      <w:r w:rsidRPr="008563DE">
        <w:rPr>
          <w:rFonts w:ascii="Times New Roman" w:hAnsi="Times New Roman"/>
          <w:color w:val="000000"/>
          <w:sz w:val="24"/>
          <w:szCs w:val="24"/>
        </w:rPr>
        <w:t>If the school is already participating in the afterschool</w:t>
      </w:r>
      <w:r w:rsidR="00AA7318" w:rsidRPr="008563DE">
        <w:rPr>
          <w:rFonts w:ascii="Times New Roman" w:hAnsi="Times New Roman"/>
          <w:color w:val="000000"/>
          <w:sz w:val="24"/>
          <w:szCs w:val="24"/>
        </w:rPr>
        <w:t xml:space="preserve"> snack prog</w:t>
      </w:r>
      <w:r w:rsidR="001557A3" w:rsidRPr="008563DE">
        <w:rPr>
          <w:rFonts w:ascii="Times New Roman" w:hAnsi="Times New Roman"/>
          <w:color w:val="000000"/>
          <w:sz w:val="24"/>
          <w:szCs w:val="24"/>
        </w:rPr>
        <w:t>r</w:t>
      </w:r>
      <w:r w:rsidR="00AA7318" w:rsidRPr="008563DE">
        <w:rPr>
          <w:rFonts w:ascii="Times New Roman" w:hAnsi="Times New Roman"/>
          <w:color w:val="000000"/>
          <w:sz w:val="24"/>
          <w:szCs w:val="24"/>
        </w:rPr>
        <w:t xml:space="preserve">am, they may move the snack to the school day if all the requirements are met.  A school may not simply start the program before exams and then stop the program when exams are complete.  </w:t>
      </w:r>
    </w:p>
    <w:p w:rsidR="009638FC" w:rsidRPr="00396FE4" w:rsidRDefault="008A10EF" w:rsidP="00D1020B">
      <w:pPr>
        <w:rPr>
          <w:b/>
          <w:sz w:val="24"/>
          <w:szCs w:val="24"/>
        </w:rPr>
      </w:pPr>
      <w:r>
        <w:rPr>
          <w:b/>
          <w:sz w:val="24"/>
          <w:szCs w:val="24"/>
        </w:rPr>
        <w:tab/>
      </w:r>
    </w:p>
    <w:sectPr w:rsidR="009638FC" w:rsidRPr="00396FE4" w:rsidSect="00203C7B">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2A" w:rsidRDefault="0062092A">
      <w:r>
        <w:separator/>
      </w:r>
    </w:p>
  </w:endnote>
  <w:endnote w:type="continuationSeparator" w:id="0">
    <w:p w:rsidR="0062092A" w:rsidRDefault="00620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CF" w:rsidRDefault="006C7DCF" w:rsidP="00203C7B">
    <w:pPr>
      <w:pStyle w:val="Footer"/>
      <w:jc w:val="center"/>
    </w:pPr>
    <w: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2A" w:rsidRDefault="0062092A">
      <w:r>
        <w:separator/>
      </w:r>
    </w:p>
  </w:footnote>
  <w:footnote w:type="continuationSeparator" w:id="0">
    <w:p w:rsidR="0062092A" w:rsidRDefault="00620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102766"/>
    <w:multiLevelType w:val="hybridMultilevel"/>
    <w:tmpl w:val="A5C61A0C"/>
    <w:lvl w:ilvl="0" w:tplc="7E88B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6"/>
  </w:hdrShapeDefaults>
  <w:footnotePr>
    <w:footnote w:id="-1"/>
    <w:footnote w:id="0"/>
  </w:footnotePr>
  <w:endnotePr>
    <w:endnote w:id="-1"/>
    <w:endnote w:id="0"/>
  </w:endnotePr>
  <w:compat/>
  <w:rsids>
    <w:rsidRoot w:val="00D17810"/>
    <w:rsid w:val="00027D41"/>
    <w:rsid w:val="000442E6"/>
    <w:rsid w:val="00045E9B"/>
    <w:rsid w:val="000539C3"/>
    <w:rsid w:val="00053CD7"/>
    <w:rsid w:val="000B4624"/>
    <w:rsid w:val="000D7588"/>
    <w:rsid w:val="000E5B41"/>
    <w:rsid w:val="000F5C2D"/>
    <w:rsid w:val="001123D2"/>
    <w:rsid w:val="001170F8"/>
    <w:rsid w:val="001328FC"/>
    <w:rsid w:val="00141D5D"/>
    <w:rsid w:val="00151289"/>
    <w:rsid w:val="001557A3"/>
    <w:rsid w:val="0017288A"/>
    <w:rsid w:val="00172EB3"/>
    <w:rsid w:val="001808BD"/>
    <w:rsid w:val="00184A8E"/>
    <w:rsid w:val="001C2D2B"/>
    <w:rsid w:val="001C6CF3"/>
    <w:rsid w:val="001E610A"/>
    <w:rsid w:val="001F50EA"/>
    <w:rsid w:val="00203C7B"/>
    <w:rsid w:val="00213C20"/>
    <w:rsid w:val="00221513"/>
    <w:rsid w:val="00242FAD"/>
    <w:rsid w:val="00246CE8"/>
    <w:rsid w:val="00250B6C"/>
    <w:rsid w:val="0026617A"/>
    <w:rsid w:val="00285E0A"/>
    <w:rsid w:val="002907C4"/>
    <w:rsid w:val="00291ECA"/>
    <w:rsid w:val="002939C0"/>
    <w:rsid w:val="00294EE6"/>
    <w:rsid w:val="002C14BC"/>
    <w:rsid w:val="002F660E"/>
    <w:rsid w:val="0031355B"/>
    <w:rsid w:val="00371EFE"/>
    <w:rsid w:val="00372F6B"/>
    <w:rsid w:val="00375B30"/>
    <w:rsid w:val="003919BD"/>
    <w:rsid w:val="00396FE4"/>
    <w:rsid w:val="003C3752"/>
    <w:rsid w:val="003E0490"/>
    <w:rsid w:val="003F7AEC"/>
    <w:rsid w:val="00463D57"/>
    <w:rsid w:val="00464246"/>
    <w:rsid w:val="004D0C3E"/>
    <w:rsid w:val="004F642D"/>
    <w:rsid w:val="00543F74"/>
    <w:rsid w:val="0058372D"/>
    <w:rsid w:val="005D0532"/>
    <w:rsid w:val="005D66D2"/>
    <w:rsid w:val="005F73DC"/>
    <w:rsid w:val="00613738"/>
    <w:rsid w:val="00613BC0"/>
    <w:rsid w:val="0062092A"/>
    <w:rsid w:val="00633F30"/>
    <w:rsid w:val="006420D3"/>
    <w:rsid w:val="00646AC6"/>
    <w:rsid w:val="006547C2"/>
    <w:rsid w:val="006835B4"/>
    <w:rsid w:val="00694DA7"/>
    <w:rsid w:val="006C2918"/>
    <w:rsid w:val="006C777F"/>
    <w:rsid w:val="006C7DCF"/>
    <w:rsid w:val="006E4D4D"/>
    <w:rsid w:val="00701C92"/>
    <w:rsid w:val="00724EA7"/>
    <w:rsid w:val="007534D5"/>
    <w:rsid w:val="00765FB4"/>
    <w:rsid w:val="00767324"/>
    <w:rsid w:val="007824E6"/>
    <w:rsid w:val="00787DAD"/>
    <w:rsid w:val="00791EB8"/>
    <w:rsid w:val="007933A8"/>
    <w:rsid w:val="007A5204"/>
    <w:rsid w:val="007B0EB0"/>
    <w:rsid w:val="007B75D8"/>
    <w:rsid w:val="007C1B77"/>
    <w:rsid w:val="007C5026"/>
    <w:rsid w:val="007E2736"/>
    <w:rsid w:val="00835497"/>
    <w:rsid w:val="00847A10"/>
    <w:rsid w:val="008520B4"/>
    <w:rsid w:val="0085268A"/>
    <w:rsid w:val="008563DE"/>
    <w:rsid w:val="008717F7"/>
    <w:rsid w:val="00872B1F"/>
    <w:rsid w:val="00874A3B"/>
    <w:rsid w:val="008A10EF"/>
    <w:rsid w:val="008A4014"/>
    <w:rsid w:val="008A78E8"/>
    <w:rsid w:val="008B6E6D"/>
    <w:rsid w:val="008C56B6"/>
    <w:rsid w:val="008D3308"/>
    <w:rsid w:val="00913566"/>
    <w:rsid w:val="00915FD4"/>
    <w:rsid w:val="00924C3E"/>
    <w:rsid w:val="009250D7"/>
    <w:rsid w:val="0092741C"/>
    <w:rsid w:val="009460FB"/>
    <w:rsid w:val="00947272"/>
    <w:rsid w:val="00962C0D"/>
    <w:rsid w:val="009638FC"/>
    <w:rsid w:val="0098134A"/>
    <w:rsid w:val="00981799"/>
    <w:rsid w:val="009C69F7"/>
    <w:rsid w:val="009F414C"/>
    <w:rsid w:val="00A446AC"/>
    <w:rsid w:val="00A50514"/>
    <w:rsid w:val="00A53EA4"/>
    <w:rsid w:val="00A75572"/>
    <w:rsid w:val="00AA4BF3"/>
    <w:rsid w:val="00AA7318"/>
    <w:rsid w:val="00AB6244"/>
    <w:rsid w:val="00AC09A9"/>
    <w:rsid w:val="00AE68AB"/>
    <w:rsid w:val="00AF49A9"/>
    <w:rsid w:val="00AF6EC5"/>
    <w:rsid w:val="00B03240"/>
    <w:rsid w:val="00B211AF"/>
    <w:rsid w:val="00B3390A"/>
    <w:rsid w:val="00B35EB6"/>
    <w:rsid w:val="00B42DB7"/>
    <w:rsid w:val="00B45E93"/>
    <w:rsid w:val="00B5146D"/>
    <w:rsid w:val="00B83F4C"/>
    <w:rsid w:val="00B92CBF"/>
    <w:rsid w:val="00BB4A61"/>
    <w:rsid w:val="00BB5B70"/>
    <w:rsid w:val="00BB5FDE"/>
    <w:rsid w:val="00BD0C37"/>
    <w:rsid w:val="00BE0EBF"/>
    <w:rsid w:val="00BF1D9B"/>
    <w:rsid w:val="00BF6F4B"/>
    <w:rsid w:val="00C430C4"/>
    <w:rsid w:val="00C84060"/>
    <w:rsid w:val="00CC6C58"/>
    <w:rsid w:val="00CF4523"/>
    <w:rsid w:val="00D03B5C"/>
    <w:rsid w:val="00D05AE8"/>
    <w:rsid w:val="00D1020B"/>
    <w:rsid w:val="00D1158A"/>
    <w:rsid w:val="00D1158E"/>
    <w:rsid w:val="00D17810"/>
    <w:rsid w:val="00D3064F"/>
    <w:rsid w:val="00D8121E"/>
    <w:rsid w:val="00D94403"/>
    <w:rsid w:val="00D9517C"/>
    <w:rsid w:val="00DA061D"/>
    <w:rsid w:val="00DC2E19"/>
    <w:rsid w:val="00DD653D"/>
    <w:rsid w:val="00E0312D"/>
    <w:rsid w:val="00E669C3"/>
    <w:rsid w:val="00E8521C"/>
    <w:rsid w:val="00E935D2"/>
    <w:rsid w:val="00EB2B6E"/>
    <w:rsid w:val="00EB5C76"/>
    <w:rsid w:val="00ED04C5"/>
    <w:rsid w:val="00EF10EE"/>
    <w:rsid w:val="00F25191"/>
    <w:rsid w:val="00F3388F"/>
    <w:rsid w:val="00F474F5"/>
    <w:rsid w:val="00F57CA4"/>
    <w:rsid w:val="00F80D63"/>
    <w:rsid w:val="00FB4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21C"/>
  </w:style>
  <w:style w:type="paragraph" w:styleId="Heading1">
    <w:name w:val="heading 1"/>
    <w:basedOn w:val="Normal"/>
    <w:next w:val="Normal"/>
    <w:qFormat/>
    <w:rsid w:val="00E8521C"/>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21C"/>
    <w:pPr>
      <w:tabs>
        <w:tab w:val="center" w:pos="4320"/>
        <w:tab w:val="right" w:pos="8640"/>
      </w:tabs>
    </w:pPr>
  </w:style>
  <w:style w:type="paragraph" w:styleId="Footer">
    <w:name w:val="footer"/>
    <w:basedOn w:val="Normal"/>
    <w:rsid w:val="00E8521C"/>
    <w:pPr>
      <w:tabs>
        <w:tab w:val="center" w:pos="4320"/>
        <w:tab w:val="right" w:pos="8640"/>
      </w:tabs>
    </w:pPr>
  </w:style>
  <w:style w:type="paragraph" w:styleId="BodyText">
    <w:name w:val="Body Text"/>
    <w:basedOn w:val="Normal"/>
    <w:rsid w:val="00E8521C"/>
    <w:pPr>
      <w:spacing w:after="120"/>
    </w:pPr>
  </w:style>
  <w:style w:type="character" w:styleId="PageNumber">
    <w:name w:val="page number"/>
    <w:basedOn w:val="DefaultParagraphFont"/>
    <w:rsid w:val="00E8521C"/>
  </w:style>
  <w:style w:type="paragraph" w:styleId="Caption">
    <w:name w:val="caption"/>
    <w:basedOn w:val="Normal"/>
    <w:next w:val="Normal"/>
    <w:qFormat/>
    <w:rsid w:val="00E8521C"/>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396FE4"/>
    <w:pPr>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396FE4"/>
    <w:rPr>
      <w:rFonts w:ascii="Consolas" w:eastAsia="Calibri" w:hAnsi="Consolas"/>
      <w:sz w:val="21"/>
      <w:szCs w:val="21"/>
    </w:rPr>
  </w:style>
  <w:style w:type="character" w:customStyle="1" w:styleId="PlainTextChar">
    <w:name w:val="Plain Text Char"/>
    <w:basedOn w:val="DefaultParagraphFont"/>
    <w:link w:val="PlainText"/>
    <w:uiPriority w:val="99"/>
    <w:rsid w:val="00396FE4"/>
    <w:rPr>
      <w:rFonts w:ascii="Consolas" w:eastAsia="Calibri" w:hAnsi="Consolas"/>
      <w:sz w:val="21"/>
      <w:szCs w:val="21"/>
    </w:rPr>
  </w:style>
  <w:style w:type="paragraph" w:styleId="BalloonText">
    <w:name w:val="Balloon Text"/>
    <w:basedOn w:val="Normal"/>
    <w:link w:val="BalloonTextChar"/>
    <w:rsid w:val="00A53EA4"/>
    <w:rPr>
      <w:rFonts w:ascii="Tahoma" w:hAnsi="Tahoma" w:cs="Tahoma"/>
      <w:sz w:val="16"/>
      <w:szCs w:val="16"/>
    </w:rPr>
  </w:style>
  <w:style w:type="character" w:customStyle="1" w:styleId="BalloonTextChar">
    <w:name w:val="Balloon Text Char"/>
    <w:basedOn w:val="DefaultParagraphFont"/>
    <w:link w:val="BalloonText"/>
    <w:rsid w:val="00A53EA4"/>
    <w:rPr>
      <w:rFonts w:ascii="Tahoma" w:hAnsi="Tahoma" w:cs="Tahoma"/>
      <w:sz w:val="16"/>
      <w:szCs w:val="16"/>
    </w:rPr>
  </w:style>
  <w:style w:type="character" w:styleId="CommentReference">
    <w:name w:val="annotation reference"/>
    <w:basedOn w:val="DefaultParagraphFont"/>
    <w:rsid w:val="001557A3"/>
    <w:rPr>
      <w:sz w:val="16"/>
      <w:szCs w:val="16"/>
    </w:rPr>
  </w:style>
  <w:style w:type="paragraph" w:styleId="CommentText">
    <w:name w:val="annotation text"/>
    <w:basedOn w:val="Normal"/>
    <w:link w:val="CommentTextChar"/>
    <w:rsid w:val="001557A3"/>
  </w:style>
  <w:style w:type="character" w:customStyle="1" w:styleId="CommentTextChar">
    <w:name w:val="Comment Text Char"/>
    <w:basedOn w:val="DefaultParagraphFont"/>
    <w:link w:val="CommentText"/>
    <w:rsid w:val="001557A3"/>
  </w:style>
  <w:style w:type="paragraph" w:styleId="CommentSubject">
    <w:name w:val="annotation subject"/>
    <w:basedOn w:val="CommentText"/>
    <w:next w:val="CommentText"/>
    <w:link w:val="CommentSubjectChar"/>
    <w:rsid w:val="001557A3"/>
    <w:rPr>
      <w:b/>
      <w:bCs/>
    </w:rPr>
  </w:style>
  <w:style w:type="character" w:customStyle="1" w:styleId="CommentSubjectChar">
    <w:name w:val="Comment Subject Char"/>
    <w:basedOn w:val="CommentTextChar"/>
    <w:link w:val="CommentSubject"/>
    <w:rsid w:val="001557A3"/>
    <w:rPr>
      <w:b/>
      <w:bCs/>
    </w:rPr>
  </w:style>
  <w:style w:type="character" w:styleId="FollowedHyperlink">
    <w:name w:val="FollowedHyperlink"/>
    <w:basedOn w:val="DefaultParagraphFont"/>
    <w:rsid w:val="00ED04C5"/>
    <w:rPr>
      <w:color w:val="800080"/>
      <w:u w:val="single"/>
    </w:rPr>
  </w:style>
</w:styles>
</file>

<file path=word/webSettings.xml><?xml version="1.0" encoding="utf-8"?>
<w:webSettings xmlns:r="http://schemas.openxmlformats.org/officeDocument/2006/relationships" xmlns:w="http://schemas.openxmlformats.org/wordprocessingml/2006/main">
  <w:divs>
    <w:div w:id="58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2BEE4AC22AC41884CB244153A7BE4" ma:contentTypeVersion="2" ma:contentTypeDescription="Create a new document." ma:contentTypeScope="" ma:versionID="ee7e4f52ddc121e95704ada543bc7f64">
  <xsd:schema xmlns:xsd="http://www.w3.org/2001/XMLSchema" xmlns:p="http://schemas.microsoft.com/office/2006/metadata/properties" xmlns:ns2="2E44A393-6EDA-4DAF-BC81-A525D0170704" targetNamespace="http://schemas.microsoft.com/office/2006/metadata/properties" ma:root="true" ma:fieldsID="a27fa7ae970bcd2fff4e0e33b6241127" ns2:_="">
    <xsd:import namespace="2E44A393-6EDA-4DAF-BC81-A525D0170704"/>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E44A393-6EDA-4DAF-BC81-A525D0170704"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ssue_x0020_Date xmlns="2E44A393-6EDA-4DAF-BC81-A525D0170704">2011-01-21T06:00:00+00:00</Issue_x0020_Date>
    <Description0 xmlns="2E44A393-6EDA-4DAF-BC81-A525D0170704">Eligibility of Expanded Learning Time Programs for Afterschool Snack Service in NSLP and CACFP - REVISED</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2F89-D70E-4F9A-B857-68D2788A0218}">
  <ds:schemaRefs>
    <ds:schemaRef ds:uri="http://schemas.microsoft.com/sharepoint/v3/contenttype/forms"/>
  </ds:schemaRefs>
</ds:datastoreItem>
</file>

<file path=customXml/itemProps2.xml><?xml version="1.0" encoding="utf-8"?>
<ds:datastoreItem xmlns:ds="http://schemas.openxmlformats.org/officeDocument/2006/customXml" ds:itemID="{6CAE96A1-0E79-4EF8-AB33-9188F8C5F64F}">
  <ds:schemaRefs>
    <ds:schemaRef ds:uri="http://schemas.microsoft.com/office/2006/metadata/longProperties"/>
  </ds:schemaRefs>
</ds:datastoreItem>
</file>

<file path=customXml/itemProps3.xml><?xml version="1.0" encoding="utf-8"?>
<ds:datastoreItem xmlns:ds="http://schemas.openxmlformats.org/officeDocument/2006/customXml" ds:itemID="{1B2610CE-6966-431F-A459-AD5A7338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A393-6EDA-4DAF-BC81-A525D0170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8C2039-3D9E-478F-BA64-C43A0F467376}">
  <ds:schemaRefs>
    <ds:schemaRef ds:uri="http://schemas.microsoft.com/office/2006/metadata/properties"/>
  </ds:schemaRefs>
</ds:datastoreItem>
</file>

<file path=customXml/itemProps5.xml><?xml version="1.0" encoding="utf-8"?>
<ds:datastoreItem xmlns:ds="http://schemas.openxmlformats.org/officeDocument/2006/customXml" ds:itemID="{D7D35746-FD12-46E7-B5A6-60F98589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2011-01-14T23:01:00Z</cp:lastPrinted>
  <dcterms:created xsi:type="dcterms:W3CDTF">2011-08-19T20:42:00Z</dcterms:created>
  <dcterms:modified xsi:type="dcterms:W3CDTF">2011-08-19T20:42:00Z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