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543F74" w:rsidRDefault="00171F89" w:rsidP="008A78E8">
      <w:pPr>
        <w:rPr>
          <w:sz w:val="23"/>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0" t="0" r="0" b="9525"/>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523875"/>
                    </a:xfrm>
                    <a:prstGeom prst="rect">
                      <a:avLst/>
                    </a:prstGeom>
                    <a:noFill/>
                    <a:ln>
                      <a:noFill/>
                    </a:ln>
                  </pic:spPr>
                </pic:pic>
              </a:graphicData>
            </a:graphic>
          </wp:anchor>
        </w:drawing>
      </w:r>
    </w:p>
    <w:p w:rsidR="00962C0D" w:rsidRPr="00962C0D" w:rsidRDefault="00962C0D" w:rsidP="008A78E8">
      <w:pPr>
        <w:rPr>
          <w:sz w:val="23"/>
        </w:rPr>
      </w:pPr>
    </w:p>
    <w:p w:rsidR="00613738" w:rsidRPr="00171F89" w:rsidRDefault="00701C92" w:rsidP="008A78E8">
      <w:pPr>
        <w:rPr>
          <w:b/>
          <w:sz w:val="24"/>
          <w:szCs w:val="24"/>
        </w:rPr>
      </w:pPr>
      <w:r w:rsidRPr="00171F89">
        <w:rPr>
          <w:b/>
          <w:sz w:val="24"/>
          <w:szCs w:val="24"/>
        </w:rPr>
        <w:t>DATE:</w:t>
      </w:r>
      <w:r w:rsidRPr="00171F89">
        <w:rPr>
          <w:b/>
          <w:sz w:val="24"/>
          <w:szCs w:val="24"/>
        </w:rPr>
        <w:tab/>
      </w:r>
      <w:r w:rsidRPr="00171F89">
        <w:rPr>
          <w:b/>
          <w:sz w:val="24"/>
          <w:szCs w:val="24"/>
        </w:rPr>
        <w:tab/>
      </w:r>
      <w:r w:rsidR="00171F89">
        <w:rPr>
          <w:sz w:val="24"/>
          <w:szCs w:val="24"/>
        </w:rPr>
        <w:t>December 12, 2013</w:t>
      </w:r>
      <w:r w:rsidRPr="00171F89">
        <w:rPr>
          <w:b/>
          <w:sz w:val="24"/>
          <w:szCs w:val="24"/>
        </w:rPr>
        <w:tab/>
      </w:r>
      <w:r w:rsidRPr="00171F89">
        <w:rPr>
          <w:b/>
          <w:sz w:val="24"/>
          <w:szCs w:val="24"/>
        </w:rPr>
        <w:tab/>
      </w:r>
      <w:r w:rsidRPr="00171F89">
        <w:rPr>
          <w:b/>
          <w:sz w:val="24"/>
          <w:szCs w:val="24"/>
        </w:rPr>
        <w:tab/>
      </w:r>
    </w:p>
    <w:p w:rsidR="00701C92" w:rsidRPr="00701C92" w:rsidRDefault="00701C92" w:rsidP="008A78E8">
      <w:pPr>
        <w:rPr>
          <w:sz w:val="24"/>
          <w:szCs w:val="24"/>
        </w:rPr>
      </w:pPr>
    </w:p>
    <w:p w:rsidR="00701C92" w:rsidRPr="00701C92" w:rsidRDefault="00701C92" w:rsidP="008A78E8">
      <w:pPr>
        <w:rPr>
          <w:sz w:val="24"/>
          <w:szCs w:val="24"/>
        </w:rPr>
      </w:pPr>
      <w:r w:rsidRPr="00171F89">
        <w:rPr>
          <w:b/>
          <w:sz w:val="24"/>
          <w:szCs w:val="24"/>
        </w:rPr>
        <w:t>MEMO CODE:</w:t>
      </w:r>
      <w:r>
        <w:rPr>
          <w:sz w:val="24"/>
          <w:szCs w:val="24"/>
        </w:rPr>
        <w:tab/>
      </w:r>
      <w:r w:rsidR="00A72CD0">
        <w:rPr>
          <w:sz w:val="24"/>
          <w:szCs w:val="24"/>
        </w:rPr>
        <w:t>SP</w:t>
      </w:r>
      <w:r w:rsidR="008A4467">
        <w:rPr>
          <w:sz w:val="24"/>
          <w:szCs w:val="24"/>
        </w:rPr>
        <w:t xml:space="preserve"> </w:t>
      </w:r>
      <w:r w:rsidR="00171F89">
        <w:rPr>
          <w:sz w:val="24"/>
          <w:szCs w:val="24"/>
        </w:rPr>
        <w:t>13</w:t>
      </w:r>
      <w:r w:rsidR="00A72CD0">
        <w:rPr>
          <w:sz w:val="24"/>
          <w:szCs w:val="24"/>
        </w:rPr>
        <w:t xml:space="preserve"> -2014</w:t>
      </w:r>
    </w:p>
    <w:p w:rsidR="00701C92" w:rsidRPr="00701C92" w:rsidRDefault="00701C92" w:rsidP="008A78E8">
      <w:pPr>
        <w:rPr>
          <w:sz w:val="24"/>
          <w:szCs w:val="24"/>
        </w:rPr>
      </w:pPr>
    </w:p>
    <w:p w:rsidR="008A4467" w:rsidRPr="008A4467" w:rsidRDefault="00701C92" w:rsidP="008A78E8">
      <w:pPr>
        <w:rPr>
          <w:sz w:val="24"/>
          <w:szCs w:val="24"/>
        </w:rPr>
      </w:pPr>
      <w:r w:rsidRPr="00171F89">
        <w:rPr>
          <w:b/>
          <w:sz w:val="24"/>
          <w:szCs w:val="24"/>
        </w:rPr>
        <w:t>SUBJECT:</w:t>
      </w:r>
      <w:r>
        <w:rPr>
          <w:sz w:val="24"/>
          <w:szCs w:val="24"/>
        </w:rPr>
        <w:tab/>
      </w:r>
      <w:r>
        <w:rPr>
          <w:sz w:val="24"/>
          <w:szCs w:val="24"/>
        </w:rPr>
        <w:tab/>
      </w:r>
      <w:r w:rsidR="00A72CD0" w:rsidRPr="008A4467">
        <w:rPr>
          <w:sz w:val="24"/>
          <w:szCs w:val="24"/>
        </w:rPr>
        <w:t xml:space="preserve">School Food Service Account Revenue from the Sale of </w:t>
      </w:r>
    </w:p>
    <w:p w:rsidR="00701C92" w:rsidRPr="00701C92" w:rsidRDefault="00A72CD0" w:rsidP="008A4467">
      <w:pPr>
        <w:tabs>
          <w:tab w:val="left" w:pos="2070"/>
        </w:tabs>
        <w:rPr>
          <w:sz w:val="24"/>
          <w:szCs w:val="24"/>
        </w:rPr>
      </w:pPr>
      <w:r w:rsidRPr="008A4467">
        <w:rPr>
          <w:sz w:val="24"/>
          <w:szCs w:val="24"/>
        </w:rPr>
        <w:tab/>
      </w:r>
      <w:r w:rsidRPr="008A4467">
        <w:rPr>
          <w:sz w:val="24"/>
          <w:szCs w:val="24"/>
        </w:rPr>
        <w:tab/>
      </w:r>
      <w:r w:rsidR="002766AB">
        <w:rPr>
          <w:sz w:val="24"/>
          <w:szCs w:val="24"/>
        </w:rPr>
        <w:t>Non</w:t>
      </w:r>
      <w:r w:rsidR="008A4467" w:rsidRPr="008A4467">
        <w:rPr>
          <w:sz w:val="24"/>
          <w:szCs w:val="24"/>
        </w:rPr>
        <w:t>-</w:t>
      </w:r>
      <w:r w:rsidRPr="008A4467">
        <w:rPr>
          <w:sz w:val="24"/>
          <w:szCs w:val="24"/>
        </w:rPr>
        <w:t>Program Foods</w:t>
      </w:r>
    </w:p>
    <w:p w:rsidR="00701C92" w:rsidRPr="00701C92" w:rsidRDefault="00701C92" w:rsidP="008A78E8">
      <w:pPr>
        <w:rPr>
          <w:sz w:val="24"/>
          <w:szCs w:val="24"/>
        </w:rPr>
      </w:pPr>
    </w:p>
    <w:p w:rsidR="001A63D7" w:rsidRDefault="00701C92" w:rsidP="00701C92">
      <w:pPr>
        <w:rPr>
          <w:sz w:val="24"/>
          <w:szCs w:val="24"/>
        </w:rPr>
      </w:pPr>
      <w:r w:rsidRPr="00171F89">
        <w:rPr>
          <w:b/>
          <w:sz w:val="24"/>
          <w:szCs w:val="24"/>
        </w:rPr>
        <w:t>TO:</w:t>
      </w:r>
      <w:r>
        <w:rPr>
          <w:sz w:val="24"/>
          <w:szCs w:val="24"/>
        </w:rPr>
        <w:tab/>
      </w:r>
      <w:r>
        <w:rPr>
          <w:sz w:val="24"/>
          <w:szCs w:val="24"/>
        </w:rPr>
        <w:tab/>
      </w:r>
      <w:r>
        <w:rPr>
          <w:sz w:val="24"/>
          <w:szCs w:val="24"/>
        </w:rPr>
        <w:tab/>
      </w:r>
      <w:r w:rsidR="001A63D7">
        <w:rPr>
          <w:sz w:val="24"/>
          <w:szCs w:val="24"/>
        </w:rPr>
        <w:t>Regional Directors</w:t>
      </w:r>
    </w:p>
    <w:p w:rsidR="00701C92" w:rsidRPr="00701C92" w:rsidRDefault="001A63D7" w:rsidP="00701C92">
      <w:pPr>
        <w:rPr>
          <w:sz w:val="24"/>
          <w:szCs w:val="24"/>
        </w:rPr>
      </w:pPr>
      <w:r>
        <w:rPr>
          <w:sz w:val="24"/>
          <w:szCs w:val="24"/>
        </w:rPr>
        <w:tab/>
      </w:r>
      <w:r>
        <w:rPr>
          <w:sz w:val="24"/>
          <w:szCs w:val="24"/>
        </w:rPr>
        <w:tab/>
      </w:r>
      <w:r>
        <w:rPr>
          <w:sz w:val="24"/>
          <w:szCs w:val="24"/>
        </w:rPr>
        <w:tab/>
      </w:r>
      <w:r w:rsidR="00701C92" w:rsidRPr="00701C92">
        <w:rPr>
          <w:sz w:val="24"/>
          <w:szCs w:val="24"/>
        </w:rPr>
        <w:t>Special Nutrition Programs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All Regions</w:t>
      </w:r>
      <w:r w:rsidRPr="00701C92">
        <w:rPr>
          <w:sz w:val="24"/>
          <w:szCs w:val="24"/>
        </w:rPr>
        <w:br/>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State Directors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Child Nutrition Programs</w:t>
      </w:r>
    </w:p>
    <w:p w:rsidR="00701C92" w:rsidRDefault="00701C92" w:rsidP="00701C92">
      <w:pPr>
        <w:rPr>
          <w:sz w:val="24"/>
          <w:szCs w:val="24"/>
        </w:rPr>
      </w:pPr>
      <w:r w:rsidRPr="00701C92">
        <w:rPr>
          <w:sz w:val="24"/>
          <w:szCs w:val="24"/>
        </w:rPr>
        <w:tab/>
      </w:r>
      <w:r w:rsidRPr="00701C92">
        <w:rPr>
          <w:sz w:val="24"/>
          <w:szCs w:val="24"/>
        </w:rPr>
        <w:tab/>
      </w:r>
      <w:r w:rsidRPr="00701C92">
        <w:rPr>
          <w:sz w:val="24"/>
          <w:szCs w:val="24"/>
        </w:rPr>
        <w:tab/>
        <w:t>All States</w:t>
      </w:r>
    </w:p>
    <w:p w:rsidR="00A72CD0" w:rsidRPr="00701C92" w:rsidRDefault="00A72CD0" w:rsidP="00701C92">
      <w:pPr>
        <w:rPr>
          <w:sz w:val="24"/>
          <w:szCs w:val="24"/>
        </w:rPr>
      </w:pPr>
    </w:p>
    <w:p w:rsidR="00701C92" w:rsidRPr="00701C92" w:rsidRDefault="00701C92" w:rsidP="008A78E8">
      <w:pPr>
        <w:rPr>
          <w:sz w:val="24"/>
          <w:szCs w:val="24"/>
        </w:rPr>
      </w:pPr>
    </w:p>
    <w:p w:rsidR="008A4467" w:rsidRDefault="00A72CD0" w:rsidP="00A72CD0">
      <w:pPr>
        <w:pStyle w:val="PlainText"/>
        <w:rPr>
          <w:rFonts w:ascii="Times New Roman" w:hAnsi="Times New Roman"/>
          <w:sz w:val="24"/>
        </w:rPr>
      </w:pPr>
      <w:r>
        <w:rPr>
          <w:rFonts w:ascii="Times New Roman" w:hAnsi="Times New Roman"/>
          <w:sz w:val="24"/>
        </w:rPr>
        <w:t xml:space="preserve">School Program regulations at 7 CFR 210.14 (f) require all revenue from the sale of </w:t>
      </w:r>
    </w:p>
    <w:p w:rsidR="00A72CD0" w:rsidRDefault="00A72CD0" w:rsidP="00A72CD0">
      <w:pPr>
        <w:pStyle w:val="PlainText"/>
        <w:rPr>
          <w:rFonts w:ascii="Times New Roman" w:hAnsi="Times New Roman"/>
          <w:sz w:val="24"/>
        </w:rPr>
      </w:pPr>
      <w:r>
        <w:rPr>
          <w:rFonts w:ascii="Times New Roman" w:hAnsi="Times New Roman"/>
          <w:sz w:val="24"/>
        </w:rPr>
        <w:t xml:space="preserve">non-program foods to accrue to the nonprofit school food service account.  </w:t>
      </w:r>
      <w:r w:rsidRPr="00EB3CB4">
        <w:rPr>
          <w:rFonts w:ascii="Times New Roman" w:hAnsi="Times New Roman"/>
          <w:i/>
          <w:sz w:val="24"/>
        </w:rPr>
        <w:t>Non-program food</w:t>
      </w:r>
      <w:r>
        <w:rPr>
          <w:rFonts w:ascii="Times New Roman" w:hAnsi="Times New Roman"/>
          <w:sz w:val="24"/>
        </w:rPr>
        <w:t xml:space="preserve"> is defined as food sold in a school at any time or location on the school campus (other than reimbursable meals) purchased using funds from the non-profit school food service account.</w:t>
      </w:r>
      <w:r w:rsidR="008A4467">
        <w:rPr>
          <w:rFonts w:ascii="Times New Roman" w:hAnsi="Times New Roman"/>
          <w:sz w:val="24"/>
        </w:rPr>
        <w:t xml:space="preserve">  </w:t>
      </w:r>
      <w:r>
        <w:rPr>
          <w:rFonts w:ascii="Times New Roman" w:hAnsi="Times New Roman"/>
          <w:sz w:val="24"/>
        </w:rPr>
        <w:t xml:space="preserve">Please note that this is different from </w:t>
      </w:r>
      <w:r w:rsidRPr="00EB3CB4">
        <w:rPr>
          <w:rFonts w:ascii="Times New Roman" w:hAnsi="Times New Roman"/>
          <w:i/>
          <w:sz w:val="24"/>
        </w:rPr>
        <w:t>competitive food</w:t>
      </w:r>
      <w:r>
        <w:rPr>
          <w:rFonts w:ascii="Times New Roman" w:hAnsi="Times New Roman"/>
          <w:sz w:val="24"/>
        </w:rPr>
        <w:t xml:space="preserve"> which is defined as all food (other than reimbursable meals) sold to students during the school day.  This memorandum provides clarification on the requirements for the accrual of revenue from the sale of non-program food.</w:t>
      </w:r>
    </w:p>
    <w:p w:rsidR="00A72CD0" w:rsidRDefault="00A72CD0" w:rsidP="00A72CD0">
      <w:pPr>
        <w:pStyle w:val="PlainText"/>
        <w:rPr>
          <w:rFonts w:ascii="Times New Roman" w:hAnsi="Times New Roman"/>
          <w:sz w:val="24"/>
        </w:rPr>
      </w:pPr>
    </w:p>
    <w:p w:rsidR="00A72CD0" w:rsidRDefault="00A72CD0" w:rsidP="00A72CD0">
      <w:pPr>
        <w:pStyle w:val="PlainText"/>
        <w:rPr>
          <w:rFonts w:ascii="Times New Roman" w:hAnsi="Times New Roman"/>
          <w:sz w:val="24"/>
        </w:rPr>
      </w:pPr>
      <w:r>
        <w:rPr>
          <w:rFonts w:ascii="Times New Roman" w:hAnsi="Times New Roman"/>
          <w:sz w:val="24"/>
        </w:rPr>
        <w:t xml:space="preserve">Previously, regulations allowed the sale of non-program foods in the food service area if the revenue from these sales accrued to the benefit of the nonprofit school food service account </w:t>
      </w:r>
      <w:r>
        <w:rPr>
          <w:rFonts w:ascii="Times New Roman" w:hAnsi="Times New Roman"/>
          <w:i/>
          <w:sz w:val="24"/>
        </w:rPr>
        <w:t>or</w:t>
      </w:r>
      <w:r>
        <w:rPr>
          <w:rFonts w:ascii="Times New Roman" w:hAnsi="Times New Roman"/>
          <w:sz w:val="24"/>
        </w:rPr>
        <w:t xml:space="preserve"> school </w:t>
      </w:r>
      <w:r>
        <w:rPr>
          <w:rFonts w:ascii="Times New Roman" w:hAnsi="Times New Roman"/>
          <w:i/>
          <w:sz w:val="24"/>
        </w:rPr>
        <w:t>or</w:t>
      </w:r>
      <w:r>
        <w:rPr>
          <w:rFonts w:ascii="Times New Roman" w:hAnsi="Times New Roman"/>
          <w:sz w:val="24"/>
        </w:rPr>
        <w:t xml:space="preserve"> a student organization approved by the school.  Now, due to the changes required by Section 206 of the Healthy, Hunger-Free Kids Act, </w:t>
      </w:r>
      <w:r>
        <w:rPr>
          <w:rFonts w:ascii="Times New Roman" w:hAnsi="Times New Roman"/>
          <w:sz w:val="24"/>
          <w:u w:val="single"/>
        </w:rPr>
        <w:t>all</w:t>
      </w:r>
      <w:r>
        <w:rPr>
          <w:rFonts w:ascii="Times New Roman" w:hAnsi="Times New Roman"/>
          <w:sz w:val="24"/>
        </w:rPr>
        <w:t xml:space="preserve"> revenue from the sale of non-program foods sold in schools at any time or location on the school campus must accrue only to the school food service account and is no longer allowed to benefit student organizations or school programs.  </w:t>
      </w:r>
    </w:p>
    <w:p w:rsidR="00A72CD0" w:rsidRDefault="00A72CD0" w:rsidP="00A72CD0">
      <w:pPr>
        <w:pStyle w:val="PlainText"/>
        <w:rPr>
          <w:rFonts w:ascii="Times New Roman" w:hAnsi="Times New Roman"/>
          <w:sz w:val="24"/>
        </w:rPr>
      </w:pPr>
    </w:p>
    <w:p w:rsidR="00A72CD0" w:rsidRDefault="00A72CD0" w:rsidP="00A72CD0">
      <w:pPr>
        <w:pStyle w:val="PlainText"/>
        <w:rPr>
          <w:rFonts w:ascii="Times New Roman" w:hAnsi="Times New Roman"/>
          <w:sz w:val="24"/>
        </w:rPr>
      </w:pPr>
      <w:r>
        <w:rPr>
          <w:rFonts w:ascii="Times New Roman" w:hAnsi="Times New Roman"/>
          <w:sz w:val="24"/>
        </w:rPr>
        <w:t xml:space="preserve">Though “revenue sharing” is no longer allowed, there are ways that school food service can continue to partner with school programs and student organizations. It is still possible for the school food service to purchase goods for other entities officially sanctioned by the school through existing food service contracts, as long as the purchase cost is paid in full by the other entity, including any labor costs associated with purchasing these goods.  If the school food service is used to provide goods and/or services for entities officially sanctioned by the school, the school food service must be fully reimbursed for any and all costs due to these arrangements.  The additional purchase also must not create a material change in the school food authority’s (SFA) contracts.  </w:t>
      </w:r>
    </w:p>
    <w:p w:rsidR="00A72CD0" w:rsidRDefault="00A72CD0" w:rsidP="00A72CD0">
      <w:pPr>
        <w:pStyle w:val="PlainText"/>
        <w:rPr>
          <w:rFonts w:ascii="Times New Roman" w:hAnsi="Times New Roman"/>
          <w:sz w:val="24"/>
        </w:rPr>
      </w:pPr>
    </w:p>
    <w:p w:rsidR="008A4467" w:rsidRDefault="008A4467" w:rsidP="00A72CD0">
      <w:pPr>
        <w:pStyle w:val="PlainText"/>
        <w:rPr>
          <w:rFonts w:ascii="Times New Roman" w:hAnsi="Times New Roman"/>
          <w:sz w:val="24"/>
        </w:rPr>
      </w:pPr>
    </w:p>
    <w:p w:rsidR="00A72CD0" w:rsidRDefault="00A72CD0" w:rsidP="00A72CD0">
      <w:pPr>
        <w:pStyle w:val="PlainText"/>
        <w:rPr>
          <w:rFonts w:ascii="Times New Roman" w:hAnsi="Times New Roman"/>
          <w:sz w:val="24"/>
        </w:rPr>
      </w:pPr>
      <w:r>
        <w:rPr>
          <w:rFonts w:ascii="Times New Roman" w:hAnsi="Times New Roman"/>
          <w:sz w:val="24"/>
        </w:rPr>
        <w:lastRenderedPageBreak/>
        <w:t>In arrangements where the school food service labor is used to prepare goods for an outside entity (e.g., catering), the school food service must ensure that all costs, including labor and any other costs incurred, are covered by the entity which is being served by the s</w:t>
      </w:r>
      <w:r w:rsidR="008A4467">
        <w:rPr>
          <w:rFonts w:ascii="Times New Roman" w:hAnsi="Times New Roman"/>
          <w:sz w:val="24"/>
        </w:rPr>
        <w:t xml:space="preserve">chool food service operations. </w:t>
      </w:r>
      <w:r>
        <w:rPr>
          <w:rFonts w:ascii="Times New Roman" w:hAnsi="Times New Roman"/>
          <w:sz w:val="24"/>
        </w:rPr>
        <w:t xml:space="preserve">Since estimating these costs may be difficult, school food service should be cautious that food service funds are not lost when entering into these types of arrangements. </w:t>
      </w:r>
    </w:p>
    <w:p w:rsidR="00A72CD0" w:rsidRDefault="00A72CD0" w:rsidP="00A72CD0">
      <w:pPr>
        <w:pStyle w:val="PlainText"/>
        <w:rPr>
          <w:rFonts w:ascii="Times New Roman" w:hAnsi="Times New Roman"/>
          <w:sz w:val="24"/>
        </w:rPr>
      </w:pPr>
    </w:p>
    <w:p w:rsidR="00A72CD0" w:rsidRDefault="00A72CD0" w:rsidP="00A72CD0">
      <w:pPr>
        <w:pStyle w:val="PlainText"/>
        <w:rPr>
          <w:rFonts w:ascii="Times New Roman" w:hAnsi="Times New Roman"/>
          <w:sz w:val="24"/>
        </w:rPr>
      </w:pPr>
      <w:r>
        <w:rPr>
          <w:rFonts w:ascii="Times New Roman" w:hAnsi="Times New Roman"/>
          <w:sz w:val="24"/>
        </w:rPr>
        <w:t xml:space="preserve">When entering into arrangements with outside entities, the school food service is best served having an agreement in place regarding costs and all other terms and conditions, including a stipulation that all risk relating to revenue losses must be covered by the outside entity and not the school food service. </w:t>
      </w:r>
    </w:p>
    <w:p w:rsidR="00A72CD0" w:rsidRDefault="00A72CD0" w:rsidP="00A72CD0">
      <w:pPr>
        <w:pStyle w:val="PlainText"/>
        <w:rPr>
          <w:rFonts w:ascii="Times New Roman" w:hAnsi="Times New Roman"/>
          <w:sz w:val="24"/>
        </w:rPr>
      </w:pPr>
    </w:p>
    <w:p w:rsidR="00A72CD0" w:rsidRDefault="00A72CD0" w:rsidP="00A72CD0">
      <w:pPr>
        <w:pStyle w:val="PlainText"/>
        <w:rPr>
          <w:rFonts w:ascii="Times New Roman" w:hAnsi="Times New Roman"/>
          <w:sz w:val="24"/>
        </w:rPr>
      </w:pPr>
      <w:r>
        <w:rPr>
          <w:rFonts w:ascii="Times New Roman" w:hAnsi="Times New Roman"/>
          <w:sz w:val="24"/>
        </w:rPr>
        <w:t xml:space="preserve">A common example of how school approved organizations can still work with school food service includes a sports team wishing to hold a fundraiser during a sporting event. The sports team could pay the school food service for the full cost of food purchased through an existing food service contract and any labor it incurs in ordering the extra food (and any other role the school food service may play, e.g., preparing food).  The sports team can then sell the food at the sporting event and keep any revenue from those sales.  </w:t>
      </w:r>
    </w:p>
    <w:p w:rsidR="00A72CD0" w:rsidRDefault="00A72CD0" w:rsidP="00A72CD0">
      <w:pPr>
        <w:pStyle w:val="PlainText"/>
        <w:ind w:left="720"/>
        <w:rPr>
          <w:rFonts w:ascii="Times New Roman" w:hAnsi="Times New Roman"/>
          <w:sz w:val="24"/>
        </w:rPr>
      </w:pPr>
    </w:p>
    <w:p w:rsidR="00A72CD0" w:rsidRDefault="00A72CD0" w:rsidP="00A72CD0">
      <w:pPr>
        <w:rPr>
          <w:sz w:val="24"/>
        </w:rPr>
      </w:pPr>
      <w:r>
        <w:rPr>
          <w:sz w:val="24"/>
        </w:rPr>
        <w:t xml:space="preserve">State agencies are reminded to distribute this memorandum to program operators immediately. SFAs should contact their State agencies for additional information.  State agencies may direct any questions concerning this guidance to the appropriate Food and Nutrition Service Regional Office. </w:t>
      </w:r>
    </w:p>
    <w:p w:rsidR="00171F89" w:rsidRDefault="00171F89" w:rsidP="00A72CD0">
      <w:pPr>
        <w:rPr>
          <w:sz w:val="24"/>
        </w:rPr>
      </w:pPr>
    </w:p>
    <w:p w:rsidR="00171F89" w:rsidRDefault="00EB48A6" w:rsidP="00A72CD0">
      <w:pPr>
        <w:rPr>
          <w:sz w:val="24"/>
        </w:rPr>
      </w:pPr>
      <w:r>
        <w:rPr>
          <w:noProof/>
          <w:sz w:val="24"/>
        </w:rPr>
        <w:drawing>
          <wp:inline distT="0" distB="0" distL="0" distR="0">
            <wp:extent cx="1600200" cy="638175"/>
            <wp:effectExtent l="0" t="0" r="0" b="9525"/>
            <wp:docPr id="1" name="Picture 1" descr="F:\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rtnerWeb Admin\Signatures\original_signed.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638175"/>
                    </a:xfrm>
                    <a:prstGeom prst="rect">
                      <a:avLst/>
                    </a:prstGeom>
                    <a:noFill/>
                    <a:ln>
                      <a:noFill/>
                    </a:ln>
                  </pic:spPr>
                </pic:pic>
              </a:graphicData>
            </a:graphic>
          </wp:inline>
        </w:drawing>
      </w:r>
      <w:bookmarkStart w:id="0" w:name="_GoBack"/>
      <w:bookmarkEnd w:id="0"/>
    </w:p>
    <w:p w:rsidR="00A72CD0" w:rsidRDefault="00A72CD0" w:rsidP="00A72CD0">
      <w:pPr>
        <w:ind w:left="720"/>
        <w:rPr>
          <w:sz w:val="24"/>
        </w:rPr>
      </w:pPr>
    </w:p>
    <w:p w:rsidR="00A72CD0" w:rsidRDefault="00A72CD0" w:rsidP="00A72CD0">
      <w:pPr>
        <w:ind w:left="720"/>
        <w:rPr>
          <w:sz w:val="24"/>
        </w:rPr>
      </w:pPr>
    </w:p>
    <w:p w:rsidR="00A72CD0" w:rsidRDefault="00A72CD0" w:rsidP="00A72CD0">
      <w:pPr>
        <w:rPr>
          <w:sz w:val="24"/>
        </w:rPr>
      </w:pPr>
      <w:r>
        <w:rPr>
          <w:sz w:val="24"/>
        </w:rPr>
        <w:t>Cynthia Long</w:t>
      </w:r>
    </w:p>
    <w:p w:rsidR="00A72CD0" w:rsidRDefault="00A72CD0" w:rsidP="00A72CD0">
      <w:pPr>
        <w:rPr>
          <w:sz w:val="24"/>
        </w:rPr>
      </w:pPr>
      <w:r>
        <w:rPr>
          <w:sz w:val="24"/>
        </w:rPr>
        <w:t>Deputy Administrator</w:t>
      </w:r>
    </w:p>
    <w:p w:rsidR="00A72CD0" w:rsidRDefault="00A72CD0" w:rsidP="00A72CD0">
      <w:pPr>
        <w:rPr>
          <w:sz w:val="24"/>
        </w:rPr>
      </w:pPr>
      <w:r>
        <w:rPr>
          <w:sz w:val="24"/>
        </w:rPr>
        <w:t>Child Nutrition Programs</w:t>
      </w:r>
    </w:p>
    <w:p w:rsidR="008A4467" w:rsidRDefault="008A4467" w:rsidP="00A72CD0">
      <w:pPr>
        <w:rPr>
          <w:sz w:val="24"/>
        </w:rPr>
      </w:pPr>
    </w:p>
    <w:p w:rsidR="00613738" w:rsidRPr="008A4467" w:rsidRDefault="00613738" w:rsidP="008A78E8">
      <w:pPr>
        <w:rPr>
          <w:sz w:val="24"/>
          <w:szCs w:val="24"/>
        </w:rPr>
      </w:pPr>
    </w:p>
    <w:p w:rsidR="00613738" w:rsidRDefault="00613738" w:rsidP="008A78E8">
      <w:pPr>
        <w:rPr>
          <w:b/>
          <w:sz w:val="24"/>
          <w:szCs w:val="24"/>
        </w:rPr>
      </w:pPr>
    </w:p>
    <w:p w:rsidR="00613738" w:rsidRDefault="00613738" w:rsidP="008A78E8">
      <w:pPr>
        <w:rPr>
          <w:b/>
          <w:sz w:val="24"/>
          <w:szCs w:val="24"/>
        </w:rPr>
      </w:pPr>
    </w:p>
    <w:p w:rsidR="00613738" w:rsidRDefault="00613738" w:rsidP="008A78E8">
      <w:pPr>
        <w:rPr>
          <w:b/>
          <w:sz w:val="24"/>
          <w:szCs w:val="24"/>
        </w:rPr>
      </w:pPr>
    </w:p>
    <w:p w:rsidR="00791EB8" w:rsidRDefault="00791EB8" w:rsidP="008A78E8">
      <w:pPr>
        <w:rPr>
          <w:b/>
          <w:sz w:val="24"/>
          <w:szCs w:val="24"/>
        </w:rPr>
      </w:pPr>
    </w:p>
    <w:p w:rsidR="00791EB8" w:rsidRDefault="00791EB8" w:rsidP="00791EB8">
      <w:pPr>
        <w:rPr>
          <w:rFonts w:ascii="Univers" w:hAnsi="Univers"/>
        </w:rPr>
      </w:pPr>
    </w:p>
    <w:p w:rsidR="00613738" w:rsidRDefault="00613738" w:rsidP="00F22782">
      <w:pPr>
        <w:framePr w:w="1378" w:hSpace="180" w:wrap="around" w:vAnchor="text" w:hAnchor="page" w:x="493" w:y="1"/>
        <w:rPr>
          <w:b/>
          <w:sz w:val="24"/>
          <w:szCs w:val="24"/>
        </w:rPr>
      </w:pPr>
    </w:p>
    <w:sectPr w:rsidR="00613738" w:rsidSect="001A63D7">
      <w:headerReference w:type="default" r:id="rId12"/>
      <w:footerReference w:type="first" r:id="rId13"/>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592" w:rsidRDefault="005A5592">
      <w:r>
        <w:separator/>
      </w:r>
    </w:p>
  </w:endnote>
  <w:endnote w:type="continuationSeparator" w:id="0">
    <w:p w:rsidR="005A5592" w:rsidRDefault="005A55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67" w:rsidRDefault="008A4467" w:rsidP="001A63D7">
    <w:pPr>
      <w:pStyle w:val="Footer"/>
      <w:jc w:val="center"/>
    </w:pPr>
    <w:r>
      <w:rPr>
        <w:rFonts w:ascii="Univers" w:hAnsi="Univers"/>
        <w:sz w:val="16"/>
      </w:rPr>
      <w:t>AN EQUAL OPPORTUNITY EMPLOYER</w:t>
    </w:r>
  </w:p>
  <w:p w:rsidR="008A4467" w:rsidRDefault="008A44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592" w:rsidRDefault="005A5592">
      <w:r>
        <w:separator/>
      </w:r>
    </w:p>
  </w:footnote>
  <w:footnote w:type="continuationSeparator" w:id="0">
    <w:p w:rsidR="005A5592" w:rsidRDefault="005A5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89" w:rsidRDefault="00171F89" w:rsidP="00171F89">
    <w:pPr>
      <w:pStyle w:val="PlainText"/>
      <w:rPr>
        <w:rFonts w:ascii="Times New Roman" w:hAnsi="Times New Roman"/>
        <w:sz w:val="24"/>
      </w:rPr>
    </w:pPr>
    <w:r>
      <w:rPr>
        <w:rFonts w:ascii="Times New Roman" w:hAnsi="Times New Roman"/>
        <w:sz w:val="24"/>
      </w:rPr>
      <w:t>Regional Directors</w:t>
    </w:r>
  </w:p>
  <w:p w:rsidR="00171F89" w:rsidRDefault="00171F89" w:rsidP="00171F89">
    <w:pPr>
      <w:pStyle w:val="PlainText"/>
      <w:rPr>
        <w:rFonts w:ascii="Times New Roman" w:hAnsi="Times New Roman"/>
        <w:sz w:val="24"/>
      </w:rPr>
    </w:pPr>
    <w:r>
      <w:rPr>
        <w:rFonts w:ascii="Times New Roman" w:hAnsi="Times New Roman"/>
        <w:sz w:val="24"/>
      </w:rPr>
      <w:t>State Directors</w:t>
    </w:r>
  </w:p>
  <w:p w:rsidR="00171F89" w:rsidRDefault="00171F89" w:rsidP="00171F89">
    <w:pPr>
      <w:pStyle w:val="PlainText"/>
    </w:pPr>
    <w:r>
      <w:rPr>
        <w:rFonts w:ascii="Times New Roman" w:hAnsi="Times New Roman"/>
        <w:sz w:val="24"/>
      </w:rPr>
      <w:t xml:space="preserve">Page 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4"/>
  </w:num>
  <w:num w:numId="4">
    <w:abstractNumId w:val="3"/>
  </w:num>
  <w:num w:numId="5">
    <w:abstractNumId w:val="15"/>
  </w:num>
  <w:num w:numId="6">
    <w:abstractNumId w:val="22"/>
  </w:num>
  <w:num w:numId="7">
    <w:abstractNumId w:val="2"/>
  </w:num>
  <w:num w:numId="8">
    <w:abstractNumId w:val="5"/>
  </w:num>
  <w:num w:numId="9">
    <w:abstractNumId w:val="8"/>
  </w:num>
  <w:num w:numId="10">
    <w:abstractNumId w:val="7"/>
  </w:num>
  <w:num w:numId="11">
    <w:abstractNumId w:val="6"/>
  </w:num>
  <w:num w:numId="12">
    <w:abstractNumId w:val="16"/>
  </w:num>
  <w:num w:numId="13">
    <w:abstractNumId w:val="0"/>
  </w:num>
  <w:num w:numId="14">
    <w:abstractNumId w:val="11"/>
  </w:num>
  <w:num w:numId="15">
    <w:abstractNumId w:val="10"/>
  </w:num>
  <w:num w:numId="16">
    <w:abstractNumId w:val="20"/>
  </w:num>
  <w:num w:numId="17">
    <w:abstractNumId w:val="17"/>
  </w:num>
  <w:num w:numId="18">
    <w:abstractNumId w:val="19"/>
  </w:num>
  <w:num w:numId="19">
    <w:abstractNumId w:val="18"/>
  </w:num>
  <w:num w:numId="20">
    <w:abstractNumId w:val="9"/>
  </w:num>
  <w:num w:numId="21">
    <w:abstractNumId w:val="13"/>
  </w:num>
  <w:num w:numId="22">
    <w:abstractNumId w:val="2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rsids>
    <w:rsidRoot w:val="00D17810"/>
    <w:rsid w:val="00041689"/>
    <w:rsid w:val="000442E6"/>
    <w:rsid w:val="00045E9B"/>
    <w:rsid w:val="000539C3"/>
    <w:rsid w:val="00053CD7"/>
    <w:rsid w:val="000E5B41"/>
    <w:rsid w:val="001170F8"/>
    <w:rsid w:val="001328FC"/>
    <w:rsid w:val="00141D5D"/>
    <w:rsid w:val="00151289"/>
    <w:rsid w:val="00171F89"/>
    <w:rsid w:val="001A63D7"/>
    <w:rsid w:val="001C2D2B"/>
    <w:rsid w:val="001E610A"/>
    <w:rsid w:val="001F50EA"/>
    <w:rsid w:val="00213C20"/>
    <w:rsid w:val="00221513"/>
    <w:rsid w:val="00250B6C"/>
    <w:rsid w:val="0026617A"/>
    <w:rsid w:val="0026639A"/>
    <w:rsid w:val="002766AB"/>
    <w:rsid w:val="00285E0A"/>
    <w:rsid w:val="002907C4"/>
    <w:rsid w:val="00291ECA"/>
    <w:rsid w:val="002939C0"/>
    <w:rsid w:val="00294EE6"/>
    <w:rsid w:val="0031355B"/>
    <w:rsid w:val="00371EFE"/>
    <w:rsid w:val="003E0490"/>
    <w:rsid w:val="003F7AEC"/>
    <w:rsid w:val="00463D57"/>
    <w:rsid w:val="004D0C3E"/>
    <w:rsid w:val="004F642D"/>
    <w:rsid w:val="00543F74"/>
    <w:rsid w:val="0055304C"/>
    <w:rsid w:val="0058372D"/>
    <w:rsid w:val="005A5592"/>
    <w:rsid w:val="005D0532"/>
    <w:rsid w:val="005D66D2"/>
    <w:rsid w:val="005F73DC"/>
    <w:rsid w:val="00613738"/>
    <w:rsid w:val="00613BC0"/>
    <w:rsid w:val="00633F30"/>
    <w:rsid w:val="006547C2"/>
    <w:rsid w:val="006C777F"/>
    <w:rsid w:val="00701C92"/>
    <w:rsid w:val="00724EA7"/>
    <w:rsid w:val="00767324"/>
    <w:rsid w:val="007824E6"/>
    <w:rsid w:val="00791EB8"/>
    <w:rsid w:val="007933A8"/>
    <w:rsid w:val="007A5204"/>
    <w:rsid w:val="007B0EB0"/>
    <w:rsid w:val="007B75D8"/>
    <w:rsid w:val="007C5026"/>
    <w:rsid w:val="007F6AB6"/>
    <w:rsid w:val="00835497"/>
    <w:rsid w:val="00847A10"/>
    <w:rsid w:val="008717F7"/>
    <w:rsid w:val="008A4014"/>
    <w:rsid w:val="008A4467"/>
    <w:rsid w:val="008A78E8"/>
    <w:rsid w:val="008B6E6D"/>
    <w:rsid w:val="008C56B6"/>
    <w:rsid w:val="008D3308"/>
    <w:rsid w:val="00913566"/>
    <w:rsid w:val="00915FD4"/>
    <w:rsid w:val="00924C3E"/>
    <w:rsid w:val="009250D7"/>
    <w:rsid w:val="0092741C"/>
    <w:rsid w:val="009460FB"/>
    <w:rsid w:val="00947272"/>
    <w:rsid w:val="00962C0D"/>
    <w:rsid w:val="00970490"/>
    <w:rsid w:val="00A446AC"/>
    <w:rsid w:val="00A50514"/>
    <w:rsid w:val="00A72CD0"/>
    <w:rsid w:val="00AA4BF3"/>
    <w:rsid w:val="00AC09A9"/>
    <w:rsid w:val="00AE68AB"/>
    <w:rsid w:val="00AF6EC5"/>
    <w:rsid w:val="00B01344"/>
    <w:rsid w:val="00B03240"/>
    <w:rsid w:val="00B061D5"/>
    <w:rsid w:val="00B3390A"/>
    <w:rsid w:val="00B35EB6"/>
    <w:rsid w:val="00B45E93"/>
    <w:rsid w:val="00B53A98"/>
    <w:rsid w:val="00B92CBF"/>
    <w:rsid w:val="00BB5B70"/>
    <w:rsid w:val="00BB5FDE"/>
    <w:rsid w:val="00BE0EBF"/>
    <w:rsid w:val="00BF6F4B"/>
    <w:rsid w:val="00C430C4"/>
    <w:rsid w:val="00D05AE8"/>
    <w:rsid w:val="00D1111E"/>
    <w:rsid w:val="00D1158A"/>
    <w:rsid w:val="00D17810"/>
    <w:rsid w:val="00D3064F"/>
    <w:rsid w:val="00D94403"/>
    <w:rsid w:val="00DA061D"/>
    <w:rsid w:val="00DC2E19"/>
    <w:rsid w:val="00E669C3"/>
    <w:rsid w:val="00E935D2"/>
    <w:rsid w:val="00EB2B6E"/>
    <w:rsid w:val="00EB48A6"/>
    <w:rsid w:val="00EF10EE"/>
    <w:rsid w:val="00F22782"/>
    <w:rsid w:val="00F25191"/>
    <w:rsid w:val="00F32305"/>
    <w:rsid w:val="00F3388F"/>
    <w:rsid w:val="00F54BCD"/>
    <w:rsid w:val="00F57CA4"/>
    <w:rsid w:val="00F80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AB6"/>
  </w:style>
  <w:style w:type="paragraph" w:styleId="Heading1">
    <w:name w:val="heading 1"/>
    <w:basedOn w:val="Normal"/>
    <w:next w:val="Normal"/>
    <w:qFormat/>
    <w:rsid w:val="007F6AB6"/>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6AB6"/>
    <w:pPr>
      <w:tabs>
        <w:tab w:val="center" w:pos="4320"/>
        <w:tab w:val="right" w:pos="8640"/>
      </w:tabs>
    </w:pPr>
  </w:style>
  <w:style w:type="paragraph" w:styleId="Footer">
    <w:name w:val="footer"/>
    <w:basedOn w:val="Normal"/>
    <w:rsid w:val="007F6AB6"/>
    <w:pPr>
      <w:tabs>
        <w:tab w:val="center" w:pos="4320"/>
        <w:tab w:val="right" w:pos="8640"/>
      </w:tabs>
    </w:pPr>
  </w:style>
  <w:style w:type="paragraph" w:styleId="BodyText">
    <w:name w:val="Body Text"/>
    <w:basedOn w:val="Normal"/>
    <w:rsid w:val="007F6AB6"/>
    <w:pPr>
      <w:spacing w:after="120"/>
    </w:pPr>
  </w:style>
  <w:style w:type="character" w:styleId="PageNumber">
    <w:name w:val="page number"/>
    <w:basedOn w:val="DefaultParagraphFont"/>
    <w:rsid w:val="007F6AB6"/>
  </w:style>
  <w:style w:type="paragraph" w:styleId="Caption">
    <w:name w:val="caption"/>
    <w:basedOn w:val="Normal"/>
    <w:next w:val="Normal"/>
    <w:qFormat/>
    <w:rsid w:val="007F6AB6"/>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PlainText">
    <w:name w:val="Plain Text"/>
    <w:basedOn w:val="Normal"/>
    <w:link w:val="PlainTextChar"/>
    <w:uiPriority w:val="99"/>
    <w:unhideWhenUsed/>
    <w:rsid w:val="00A72CD0"/>
    <w:rPr>
      <w:rFonts w:ascii="Arial" w:hAnsi="Arial"/>
      <w:sz w:val="36"/>
      <w:szCs w:val="21"/>
    </w:rPr>
  </w:style>
  <w:style w:type="character" w:customStyle="1" w:styleId="PlainTextChar">
    <w:name w:val="Plain Text Char"/>
    <w:basedOn w:val="DefaultParagraphFont"/>
    <w:link w:val="PlainText"/>
    <w:uiPriority w:val="99"/>
    <w:rsid w:val="00A72CD0"/>
    <w:rPr>
      <w:rFonts w:ascii="Arial" w:hAnsi="Arial"/>
      <w:sz w:val="36"/>
      <w:szCs w:val="21"/>
    </w:rPr>
  </w:style>
  <w:style w:type="paragraph" w:styleId="BalloonText">
    <w:name w:val="Balloon Text"/>
    <w:basedOn w:val="Normal"/>
    <w:link w:val="BalloonTextChar"/>
    <w:rsid w:val="00EB48A6"/>
    <w:rPr>
      <w:rFonts w:ascii="Tahoma" w:hAnsi="Tahoma" w:cs="Tahoma"/>
      <w:sz w:val="16"/>
      <w:szCs w:val="16"/>
    </w:rPr>
  </w:style>
  <w:style w:type="character" w:customStyle="1" w:styleId="BalloonTextChar">
    <w:name w:val="Balloon Text Char"/>
    <w:basedOn w:val="DefaultParagraphFont"/>
    <w:link w:val="BalloonText"/>
    <w:rsid w:val="00EB48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PlainText">
    <w:name w:val="Plain Text"/>
    <w:basedOn w:val="Normal"/>
    <w:link w:val="PlainTextChar"/>
    <w:uiPriority w:val="99"/>
    <w:unhideWhenUsed/>
    <w:rsid w:val="00A72CD0"/>
    <w:rPr>
      <w:rFonts w:ascii="Arial" w:hAnsi="Arial"/>
      <w:sz w:val="36"/>
      <w:szCs w:val="21"/>
    </w:rPr>
  </w:style>
  <w:style w:type="character" w:customStyle="1" w:styleId="PlainTextChar">
    <w:name w:val="Plain Text Char"/>
    <w:basedOn w:val="DefaultParagraphFont"/>
    <w:link w:val="PlainText"/>
    <w:uiPriority w:val="99"/>
    <w:rsid w:val="00A72CD0"/>
    <w:rPr>
      <w:rFonts w:ascii="Arial" w:hAnsi="Arial"/>
      <w:sz w:val="36"/>
      <w:szCs w:val="21"/>
    </w:rPr>
  </w:style>
  <w:style w:type="paragraph" w:styleId="BalloonText">
    <w:name w:val="Balloon Text"/>
    <w:basedOn w:val="Normal"/>
    <w:link w:val="BalloonTextChar"/>
    <w:rsid w:val="00EB48A6"/>
    <w:rPr>
      <w:rFonts w:ascii="Tahoma" w:hAnsi="Tahoma" w:cs="Tahoma"/>
      <w:sz w:val="16"/>
      <w:szCs w:val="16"/>
    </w:rPr>
  </w:style>
  <w:style w:type="character" w:customStyle="1" w:styleId="BalloonTextChar">
    <w:name w:val="Balloon Text Char"/>
    <w:basedOn w:val="DefaultParagraphFont"/>
    <w:link w:val="BalloonText"/>
    <w:rsid w:val="00EB48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scription0 xmlns="76983112-C951-433B-8FB5-570596957979">SP13-2014: School Food Service Account Revenue from the Sale of Non-Program Foods
</Description0>
    <Issue_x0020_Date xmlns="76983112-C951-433B-8FB5-570596957979">2013-12-12T05:00:00+00:00</Issue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5" ma:contentTypeDescription="Create a new document." ma:contentTypeScope="" ma:versionID="8726c2de784e894fcc01f5bf9576d3db">
  <xsd:schema xmlns:xsd="http://www.w3.org/2001/XMLSchema" xmlns:p="http://schemas.microsoft.com/office/2006/metadata/properties" xmlns:ns2="76983112-C951-433B-8FB5-570596957979" targetNamespace="http://schemas.microsoft.com/office/2006/metadata/properties" ma:root="true" ma:fieldsID="fc84cac665c19d09f400b9a087450a89" ns2:_="">
    <xsd:import namespace="76983112-C951-433B-8FB5-570596957979"/>
    <xsd:element name="properties">
      <xsd:complexType>
        <xsd:sequence>
          <xsd:element name="documentManagement">
            <xsd:complexType>
              <xsd:all>
                <xsd:element ref="ns2:Description0" minOccurs="0"/>
                <xsd:element ref="ns2:Issue_x0020_Date"/>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3567606-5C93-420A-8684-83A1590400F4}">
  <ds:schemaRefs>
    <ds:schemaRef ds:uri="http://schemas.microsoft.com/office/2006/metadata/properties"/>
    <ds:schemaRef ds:uri="76983112-C951-433B-8FB5-570596957979"/>
  </ds:schemaRefs>
</ds:datastoreItem>
</file>

<file path=customXml/itemProps2.xml><?xml version="1.0" encoding="utf-8"?>
<ds:datastoreItem xmlns:ds="http://schemas.openxmlformats.org/officeDocument/2006/customXml" ds:itemID="{60E60867-A2A1-4D8C-A6AF-59BB461EBE10}">
  <ds:schemaRefs>
    <ds:schemaRef ds:uri="http://schemas.microsoft.com/sharepoint/v3/contenttype/forms"/>
  </ds:schemaRefs>
</ds:datastoreItem>
</file>

<file path=customXml/itemProps3.xml><?xml version="1.0" encoding="utf-8"?>
<ds:datastoreItem xmlns:ds="http://schemas.openxmlformats.org/officeDocument/2006/customXml" ds:itemID="{4537207C-BC11-4E5E-A9E5-5432D7706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SP13-2014: School Food Service Account Revenue from the Sale of Non-Program Foods</dc:title>
  <dc:creator>UserName</dc:creator>
  <cp:lastModifiedBy>sbenni</cp:lastModifiedBy>
  <cp:revision>2</cp:revision>
  <cp:lastPrinted>2013-12-13T15:42:00Z</cp:lastPrinted>
  <dcterms:created xsi:type="dcterms:W3CDTF">2013-12-13T15:43:00Z</dcterms:created>
  <dcterms:modified xsi:type="dcterms:W3CDTF">2013-12-13T15:43:00Z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0x0101000CF85BEA86B5DB428DC50B581780AD33</vt:lpwstr>
  </property>
</Properties>
</file>