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543F74" w:rsidRDefault="00296DD3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C0D" w:rsidRPr="00962C0D" w:rsidRDefault="00962C0D" w:rsidP="008A78E8">
      <w:pPr>
        <w:rPr>
          <w:sz w:val="23"/>
        </w:rPr>
      </w:pPr>
    </w:p>
    <w:p w:rsidR="00C0012D" w:rsidRPr="00DB3EE6" w:rsidRDefault="00006AA8" w:rsidP="00C0012D">
      <w:pPr>
        <w:pStyle w:val="Default"/>
        <w:ind w:left="720"/>
      </w:pPr>
      <w:r>
        <w:t xml:space="preserve">DATE: </w:t>
      </w:r>
      <w:r>
        <w:tab/>
      </w:r>
      <w:r>
        <w:tab/>
        <w:t>July 25, 2011</w:t>
      </w:r>
    </w:p>
    <w:p w:rsidR="00C0012D" w:rsidRPr="00DB3EE6" w:rsidRDefault="00C0012D" w:rsidP="00C0012D">
      <w:pPr>
        <w:pStyle w:val="Default"/>
        <w:ind w:left="720"/>
      </w:pPr>
    </w:p>
    <w:p w:rsidR="00C0012D" w:rsidRPr="00DB3EE6" w:rsidRDefault="00C0012D" w:rsidP="00C0012D">
      <w:pPr>
        <w:pStyle w:val="Default"/>
        <w:ind w:left="720"/>
      </w:pPr>
      <w:r w:rsidRPr="00DB3EE6">
        <w:t xml:space="preserve">MEMO CODE: </w:t>
      </w:r>
      <w:r w:rsidRPr="00DB3EE6">
        <w:tab/>
      </w:r>
      <w:r>
        <w:t>CACFP</w:t>
      </w:r>
      <w:r w:rsidRPr="00DB3EE6">
        <w:t xml:space="preserve"> </w:t>
      </w:r>
      <w:r w:rsidR="007A0B85">
        <w:t>24</w:t>
      </w:r>
      <w:r w:rsidRPr="00DB3EE6">
        <w:t xml:space="preserve">-2011 </w:t>
      </w:r>
    </w:p>
    <w:p w:rsidR="00C0012D" w:rsidRPr="00DB3EE6" w:rsidRDefault="00C0012D" w:rsidP="00C0012D">
      <w:pPr>
        <w:pStyle w:val="Default"/>
        <w:ind w:left="720"/>
      </w:pPr>
    </w:p>
    <w:p w:rsidR="00C0012D" w:rsidRPr="00DB3EE6" w:rsidRDefault="00C0012D" w:rsidP="00C0012D">
      <w:pPr>
        <w:pStyle w:val="Default"/>
        <w:ind w:left="720"/>
      </w:pPr>
      <w:r w:rsidRPr="00DB3EE6">
        <w:t xml:space="preserve">SUBJECT: </w:t>
      </w:r>
      <w:r w:rsidRPr="00DB3EE6">
        <w:tab/>
      </w:r>
      <w:r w:rsidRPr="00DB3EE6">
        <w:tab/>
        <w:t>Automatic Revocati</w:t>
      </w:r>
      <w:r w:rsidR="00817F44">
        <w:t>on of Tax Exempt Status</w:t>
      </w:r>
    </w:p>
    <w:p w:rsidR="00C0012D" w:rsidRPr="00DB3EE6" w:rsidRDefault="00C0012D" w:rsidP="00C0012D">
      <w:pPr>
        <w:pStyle w:val="Default"/>
        <w:ind w:left="720"/>
      </w:pPr>
    </w:p>
    <w:p w:rsidR="00C0012D" w:rsidRPr="00DB3EE6" w:rsidRDefault="00C0012D" w:rsidP="00C0012D">
      <w:pPr>
        <w:pStyle w:val="Default"/>
        <w:ind w:left="720"/>
      </w:pPr>
      <w:r w:rsidRPr="00DB3EE6">
        <w:t xml:space="preserve">TO: </w:t>
      </w:r>
      <w:r w:rsidRPr="00DB3EE6">
        <w:tab/>
      </w:r>
      <w:r w:rsidRPr="00DB3EE6">
        <w:tab/>
      </w:r>
      <w:r w:rsidRPr="00DB3EE6">
        <w:tab/>
        <w:t xml:space="preserve">Regional Directors </w:t>
      </w:r>
    </w:p>
    <w:p w:rsidR="00C0012D" w:rsidRPr="00DB3EE6" w:rsidRDefault="00C0012D" w:rsidP="00C0012D">
      <w:pPr>
        <w:pStyle w:val="Default"/>
        <w:ind w:left="720"/>
      </w:pPr>
      <w:r>
        <w:tab/>
      </w:r>
      <w:r>
        <w:tab/>
      </w:r>
      <w:r>
        <w:tab/>
      </w:r>
      <w:r w:rsidRPr="00DB3EE6">
        <w:t xml:space="preserve">Special Nutrition Programs </w:t>
      </w:r>
    </w:p>
    <w:p w:rsidR="00C0012D" w:rsidRPr="00DB3EE6" w:rsidRDefault="00C0012D" w:rsidP="00C0012D">
      <w:pPr>
        <w:pStyle w:val="Default"/>
        <w:ind w:left="720"/>
      </w:pPr>
      <w:r>
        <w:tab/>
      </w:r>
      <w:r>
        <w:tab/>
      </w:r>
      <w:r>
        <w:tab/>
      </w:r>
      <w:r w:rsidRPr="00DB3EE6">
        <w:t xml:space="preserve">All Regions </w:t>
      </w:r>
    </w:p>
    <w:p w:rsidR="00C0012D" w:rsidRPr="00DB3EE6" w:rsidRDefault="00C0012D" w:rsidP="00C0012D">
      <w:pPr>
        <w:pStyle w:val="Default"/>
        <w:ind w:left="720"/>
      </w:pPr>
    </w:p>
    <w:p w:rsidR="00C0012D" w:rsidRPr="00DB3EE6" w:rsidRDefault="00C0012D" w:rsidP="00C0012D">
      <w:pPr>
        <w:pStyle w:val="Default"/>
        <w:ind w:left="720"/>
      </w:pPr>
      <w:r>
        <w:tab/>
      </w:r>
      <w:r>
        <w:tab/>
      </w:r>
      <w:r>
        <w:tab/>
      </w:r>
      <w:r w:rsidRPr="00DB3EE6">
        <w:t xml:space="preserve">State Directors </w:t>
      </w:r>
    </w:p>
    <w:p w:rsidR="00C0012D" w:rsidRPr="00DB3EE6" w:rsidRDefault="00C0012D" w:rsidP="00C0012D">
      <w:pPr>
        <w:pStyle w:val="Default"/>
        <w:ind w:left="720"/>
      </w:pPr>
      <w:r>
        <w:tab/>
      </w:r>
      <w:r>
        <w:tab/>
      </w:r>
      <w:r>
        <w:tab/>
      </w:r>
      <w:r w:rsidRPr="00DB3EE6">
        <w:t xml:space="preserve">Child Nutrition Programs </w:t>
      </w:r>
    </w:p>
    <w:p w:rsidR="00C0012D" w:rsidRPr="00C0012D" w:rsidRDefault="00C0012D" w:rsidP="00C0012D">
      <w:pPr>
        <w:ind w:left="720"/>
        <w:rPr>
          <w:sz w:val="24"/>
          <w:szCs w:val="24"/>
        </w:rPr>
      </w:pPr>
      <w:r w:rsidRPr="00C0012D">
        <w:rPr>
          <w:sz w:val="24"/>
          <w:szCs w:val="24"/>
        </w:rPr>
        <w:tab/>
      </w:r>
      <w:r w:rsidRPr="00C0012D">
        <w:rPr>
          <w:sz w:val="24"/>
          <w:szCs w:val="24"/>
        </w:rPr>
        <w:tab/>
      </w:r>
      <w:r w:rsidRPr="00C0012D">
        <w:rPr>
          <w:sz w:val="24"/>
          <w:szCs w:val="24"/>
        </w:rPr>
        <w:tab/>
        <w:t>All States</w:t>
      </w:r>
    </w:p>
    <w:p w:rsidR="00C0012D" w:rsidRDefault="00C0012D" w:rsidP="00C0012D">
      <w:pPr>
        <w:ind w:left="720"/>
      </w:pPr>
    </w:p>
    <w:p w:rsidR="00C0012D" w:rsidRPr="00C0012D" w:rsidRDefault="00C0012D" w:rsidP="00C0012D">
      <w:pPr>
        <w:ind w:left="720"/>
        <w:rPr>
          <w:sz w:val="24"/>
          <w:szCs w:val="24"/>
        </w:rPr>
      </w:pPr>
      <w:r w:rsidRPr="00C0012D">
        <w:rPr>
          <w:sz w:val="24"/>
          <w:szCs w:val="24"/>
        </w:rPr>
        <w:t xml:space="preserve">The Internal Revenue Service (IRS) has recently changed its filing requirements for some tax-exempt organizations. </w:t>
      </w:r>
      <w:r w:rsidR="00A729D9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>Failure to comply with the requirements may result in the revocation of an organization’s tax-exempt status by the IRS.</w:t>
      </w:r>
      <w:r w:rsidR="00A729D9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 The Richard B. Russell National School Lunch Act requires sponsors of family day care homes and unaffiliated centers to be public or private non-profit organizations [42 USC §1766(a)(2)].</w:t>
      </w:r>
      <w:r w:rsidR="00A729D9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 Further, the Act defines a private non-profit o</w:t>
      </w:r>
      <w:r w:rsidR="00390ED3">
        <w:rPr>
          <w:sz w:val="24"/>
          <w:szCs w:val="24"/>
        </w:rPr>
        <w:t>rganization as one that has tax-</w:t>
      </w:r>
      <w:r w:rsidRPr="00C0012D">
        <w:rPr>
          <w:sz w:val="24"/>
          <w:szCs w:val="24"/>
        </w:rPr>
        <w:t>exempt status under the Internal Revenue Code [42 USC §1766(d)(1)(B)].</w:t>
      </w:r>
    </w:p>
    <w:p w:rsidR="00C0012D" w:rsidRPr="00C0012D" w:rsidRDefault="00C0012D" w:rsidP="00C0012D">
      <w:pPr>
        <w:ind w:left="720"/>
        <w:rPr>
          <w:sz w:val="24"/>
          <w:szCs w:val="24"/>
        </w:rPr>
      </w:pPr>
    </w:p>
    <w:p w:rsidR="00C0012D" w:rsidRPr="00C0012D" w:rsidRDefault="00C0012D" w:rsidP="00C0012D">
      <w:pPr>
        <w:ind w:left="720"/>
        <w:rPr>
          <w:sz w:val="24"/>
          <w:szCs w:val="24"/>
        </w:rPr>
      </w:pPr>
      <w:r w:rsidRPr="00C0012D">
        <w:rPr>
          <w:sz w:val="24"/>
          <w:szCs w:val="24"/>
        </w:rPr>
        <w:t xml:space="preserve">As a result, </w:t>
      </w:r>
      <w:r w:rsidR="00390ED3">
        <w:rPr>
          <w:sz w:val="24"/>
          <w:szCs w:val="24"/>
        </w:rPr>
        <w:t>the Child and Adult Care Food Program (</w:t>
      </w:r>
      <w:r w:rsidRPr="00C0012D">
        <w:rPr>
          <w:sz w:val="24"/>
          <w:szCs w:val="24"/>
        </w:rPr>
        <w:t>CACFP</w:t>
      </w:r>
      <w:r w:rsidR="00390ED3">
        <w:rPr>
          <w:sz w:val="24"/>
          <w:szCs w:val="24"/>
        </w:rPr>
        <w:t>)</w:t>
      </w:r>
      <w:r w:rsidRPr="00C0012D">
        <w:rPr>
          <w:sz w:val="24"/>
          <w:szCs w:val="24"/>
        </w:rPr>
        <w:t xml:space="preserve"> sponsors that have had their tax-exempt status automatically revoked by the IRS are not eligible for participation in CACFP. </w:t>
      </w:r>
      <w:r w:rsidR="00A729D9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This memorandum is intended to provide guidance to CACFP State agencies with </w:t>
      </w:r>
      <w:r w:rsidR="000F5FCE">
        <w:rPr>
          <w:sz w:val="24"/>
          <w:szCs w:val="24"/>
        </w:rPr>
        <w:t>institutions</w:t>
      </w:r>
      <w:r w:rsidRPr="00C0012D">
        <w:rPr>
          <w:sz w:val="24"/>
          <w:szCs w:val="24"/>
        </w:rPr>
        <w:t xml:space="preserve"> that have had their non-profit tax-exempt status revoked.</w:t>
      </w:r>
      <w:r w:rsidR="00A729D9">
        <w:rPr>
          <w:sz w:val="24"/>
          <w:szCs w:val="24"/>
        </w:rPr>
        <w:t xml:space="preserve">  </w:t>
      </w:r>
      <w:r w:rsidRPr="00C0012D">
        <w:rPr>
          <w:sz w:val="24"/>
          <w:szCs w:val="24"/>
        </w:rPr>
        <w:t>Guidance for the Summer Food Serv</w:t>
      </w:r>
      <w:r w:rsidR="00D03270">
        <w:rPr>
          <w:sz w:val="24"/>
          <w:szCs w:val="24"/>
        </w:rPr>
        <w:t>ice Program and the School Meal</w:t>
      </w:r>
      <w:r w:rsidRPr="00C0012D">
        <w:rPr>
          <w:sz w:val="24"/>
          <w:szCs w:val="24"/>
        </w:rPr>
        <w:t xml:space="preserve"> Programs are being issued separately.</w:t>
      </w:r>
    </w:p>
    <w:p w:rsidR="00C0012D" w:rsidRDefault="00C0012D" w:rsidP="00C0012D">
      <w:pPr>
        <w:pStyle w:val="NormalWeb"/>
        <w:ind w:left="720" w:firstLine="0"/>
      </w:pPr>
    </w:p>
    <w:p w:rsidR="00C0012D" w:rsidRDefault="00C0012D" w:rsidP="00C0012D">
      <w:pPr>
        <w:pStyle w:val="NormalWeb"/>
        <w:ind w:left="720" w:firstLine="0"/>
      </w:pPr>
      <w:r w:rsidRPr="00DB3EE6">
        <w:t>According to the IRS, most tax-exempt organizations are required to file an annual</w:t>
      </w:r>
      <w:r>
        <w:t xml:space="preserve"> return or notice with the IRS.</w:t>
      </w:r>
      <w:r w:rsidR="00A729D9">
        <w:t xml:space="preserve"> </w:t>
      </w:r>
      <w:r>
        <w:t xml:space="preserve"> Exceptions to this requirement include governmental and many faith-based organizations.</w:t>
      </w:r>
      <w:r w:rsidR="00A729D9">
        <w:t xml:space="preserve"> </w:t>
      </w:r>
      <w:r>
        <w:t xml:space="preserve"> Pursuant to authority in </w:t>
      </w:r>
      <w:r w:rsidRPr="00DB3EE6">
        <w:t>Section 6033(j) of the Internal Revenue Code</w:t>
      </w:r>
      <w:r>
        <w:t xml:space="preserve"> of 1986, the IRS must </w:t>
      </w:r>
      <w:r w:rsidRPr="00DB3EE6">
        <w:t xml:space="preserve">automatically revoke the </w:t>
      </w:r>
      <w:r>
        <w:t>tax</w:t>
      </w:r>
      <w:r w:rsidR="00B860F1">
        <w:t xml:space="preserve"> </w:t>
      </w:r>
      <w:r w:rsidRPr="00DB3EE6">
        <w:t xml:space="preserve">exemption of any </w:t>
      </w:r>
      <w:r>
        <w:t xml:space="preserve">private nonprofit </w:t>
      </w:r>
      <w:r w:rsidRPr="00DB3EE6">
        <w:t xml:space="preserve">organization that fails to satisfy its filing requirement for three consecutive years. </w:t>
      </w:r>
      <w:r>
        <w:t xml:space="preserve">The IRS has in place an application process in which organizations may seek reinstatement of tax-exempt status after automatic revocation. </w:t>
      </w:r>
      <w:r w:rsidR="00A729D9">
        <w:t xml:space="preserve"> </w:t>
      </w:r>
      <w:r>
        <w:t xml:space="preserve">Such reinstatements are generally effective on the date of the IRS determination, but retroactive reinstatement may be requested. </w:t>
      </w:r>
      <w:r w:rsidR="00A729D9">
        <w:t xml:space="preserve"> </w:t>
      </w:r>
      <w:r w:rsidRPr="00DB3EE6">
        <w:t xml:space="preserve">Additional information about automatic revocation </w:t>
      </w:r>
      <w:r>
        <w:t xml:space="preserve">of tax-exempt status </w:t>
      </w:r>
      <w:r w:rsidRPr="00DB3EE6">
        <w:t xml:space="preserve">may be found at: </w:t>
      </w:r>
      <w:hyperlink r:id="rId13" w:history="1">
        <w:r w:rsidRPr="00DB3EE6">
          <w:rPr>
            <w:rStyle w:val="Hyperlink"/>
          </w:rPr>
          <w:t>http://www.irs.gov/charities/article/0,,id=239696,00.html</w:t>
        </w:r>
      </w:hyperlink>
      <w:r w:rsidRPr="00DB3EE6">
        <w:t>.</w:t>
      </w:r>
    </w:p>
    <w:p w:rsidR="00C0012D" w:rsidRDefault="00C0012D" w:rsidP="00C0012D">
      <w:pPr>
        <w:autoSpaceDE w:val="0"/>
        <w:autoSpaceDN w:val="0"/>
        <w:adjustRightInd w:val="0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Regional Directors</w:t>
      </w:r>
    </w:p>
    <w:p w:rsidR="00C0012D" w:rsidRDefault="00C0012D" w:rsidP="00C0012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C0012D" w:rsidRDefault="00C0012D" w:rsidP="00C0012D">
      <w:pPr>
        <w:pStyle w:val="Header"/>
        <w:rPr>
          <w:sz w:val="24"/>
          <w:szCs w:val="24"/>
        </w:rPr>
      </w:pPr>
      <w:r>
        <w:rPr>
          <w:sz w:val="24"/>
          <w:szCs w:val="24"/>
        </w:rPr>
        <w:t>Page 2</w:t>
      </w:r>
      <w:r w:rsidR="00A729D9">
        <w:rPr>
          <w:sz w:val="24"/>
          <w:szCs w:val="24"/>
        </w:rPr>
        <w:br/>
      </w:r>
    </w:p>
    <w:p w:rsidR="00C0012D" w:rsidRPr="00C0012D" w:rsidRDefault="00C0012D" w:rsidP="00C0012D">
      <w:pPr>
        <w:rPr>
          <w:sz w:val="24"/>
          <w:szCs w:val="24"/>
        </w:rPr>
      </w:pPr>
      <w:r w:rsidRPr="00C0012D">
        <w:rPr>
          <w:sz w:val="24"/>
          <w:szCs w:val="24"/>
        </w:rPr>
        <w:t>Recently, the IRS initiated this automatic tax</w:t>
      </w:r>
      <w:r w:rsidR="00AA550B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exemption revocation and it is possible that some CACFP </w:t>
      </w:r>
      <w:r w:rsidR="000F5FCE">
        <w:rPr>
          <w:sz w:val="24"/>
          <w:szCs w:val="24"/>
        </w:rPr>
        <w:t>institutions</w:t>
      </w:r>
      <w:r w:rsidRPr="00C0012D">
        <w:rPr>
          <w:sz w:val="24"/>
          <w:szCs w:val="24"/>
        </w:rPr>
        <w:t xml:space="preserve"> are affected.</w:t>
      </w:r>
      <w:r w:rsidR="00A729D9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 </w:t>
      </w:r>
      <w:r w:rsidR="00D03270">
        <w:rPr>
          <w:sz w:val="24"/>
          <w:szCs w:val="24"/>
        </w:rPr>
        <w:t>Tax exemption is a condition of eligibility for most CACFP institutions</w:t>
      </w:r>
      <w:r w:rsidR="00F017C1">
        <w:rPr>
          <w:sz w:val="24"/>
          <w:szCs w:val="24"/>
        </w:rPr>
        <w:t xml:space="preserve"> and required for participation</w:t>
      </w:r>
      <w:r w:rsidR="00D03270">
        <w:rPr>
          <w:sz w:val="24"/>
          <w:szCs w:val="24"/>
        </w:rPr>
        <w:t xml:space="preserve">. </w:t>
      </w:r>
      <w:r w:rsidR="005271E4">
        <w:rPr>
          <w:sz w:val="24"/>
          <w:szCs w:val="24"/>
        </w:rPr>
        <w:t xml:space="preserve"> </w:t>
      </w:r>
      <w:r w:rsidR="00D03270">
        <w:rPr>
          <w:sz w:val="24"/>
          <w:szCs w:val="24"/>
        </w:rPr>
        <w:t>Therefore, r</w:t>
      </w:r>
      <w:r w:rsidRPr="00C0012D">
        <w:rPr>
          <w:sz w:val="24"/>
          <w:szCs w:val="24"/>
        </w:rPr>
        <w:t>evocation of tax exemption is considered a serious deficiency requiring corrective ac</w:t>
      </w:r>
      <w:r w:rsidR="00D03270">
        <w:rPr>
          <w:sz w:val="24"/>
          <w:szCs w:val="24"/>
        </w:rPr>
        <w:t xml:space="preserve">tion or termination, because it </w:t>
      </w:r>
      <w:r w:rsidRPr="00C0012D">
        <w:rPr>
          <w:sz w:val="24"/>
          <w:szCs w:val="24"/>
        </w:rPr>
        <w:t>affects the institution’s ability to administer the Program in accordance with Program requirements [7 CFR §226.6(c)(3)(ii)(U)].</w:t>
      </w:r>
      <w:r w:rsidR="00A729D9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 If an approved CACFP institution has had its exemption revoked, the State agency must follow the termination procedures outlined in 7 CFR §226.6(c)(3), which includes providing notice of serious deficiency and an opportunity for corrective action. </w:t>
      </w:r>
      <w:r w:rsidR="00A729D9">
        <w:rPr>
          <w:sz w:val="24"/>
          <w:szCs w:val="24"/>
        </w:rPr>
        <w:t xml:space="preserve"> </w:t>
      </w:r>
      <w:r w:rsidR="005271E4">
        <w:rPr>
          <w:sz w:val="24"/>
          <w:szCs w:val="24"/>
        </w:rPr>
        <w:t>A</w:t>
      </w:r>
      <w:r w:rsidRPr="00C0012D">
        <w:rPr>
          <w:sz w:val="24"/>
          <w:szCs w:val="24"/>
        </w:rPr>
        <w:t xml:space="preserve"> State agency </w:t>
      </w:r>
      <w:r w:rsidR="005271E4">
        <w:rPr>
          <w:sz w:val="24"/>
          <w:szCs w:val="24"/>
        </w:rPr>
        <w:t>must</w:t>
      </w:r>
      <w:r w:rsidRPr="00C0012D">
        <w:rPr>
          <w:sz w:val="24"/>
          <w:szCs w:val="24"/>
        </w:rPr>
        <w:t xml:space="preserve"> require corrective action for this serious deficiency within </w:t>
      </w:r>
      <w:r w:rsidR="000F5FCE">
        <w:rPr>
          <w:sz w:val="24"/>
          <w:szCs w:val="24"/>
        </w:rPr>
        <w:t>3</w:t>
      </w:r>
      <w:r w:rsidRPr="00C0012D">
        <w:rPr>
          <w:sz w:val="24"/>
          <w:szCs w:val="24"/>
        </w:rPr>
        <w:t>0 business days of receipt of the notice.</w:t>
      </w:r>
    </w:p>
    <w:p w:rsidR="00C0012D" w:rsidRPr="00C0012D" w:rsidRDefault="00C0012D" w:rsidP="00817F44">
      <w:pPr>
        <w:rPr>
          <w:sz w:val="24"/>
          <w:szCs w:val="24"/>
        </w:rPr>
      </w:pPr>
    </w:p>
    <w:p w:rsidR="00CA2872" w:rsidRDefault="00C10D0D" w:rsidP="00C0012D">
      <w:pPr>
        <w:rPr>
          <w:sz w:val="24"/>
          <w:szCs w:val="24"/>
        </w:rPr>
      </w:pPr>
      <w:r>
        <w:rPr>
          <w:sz w:val="24"/>
          <w:szCs w:val="24"/>
        </w:rPr>
        <w:t>The only a</w:t>
      </w:r>
      <w:r w:rsidR="00C0012D" w:rsidRPr="00C0012D">
        <w:rPr>
          <w:sz w:val="24"/>
          <w:szCs w:val="24"/>
        </w:rPr>
        <w:t xml:space="preserve">ppropriate corrective action </w:t>
      </w:r>
      <w:r w:rsidR="00C0012D" w:rsidRPr="00C10D0D">
        <w:rPr>
          <w:sz w:val="24"/>
          <w:szCs w:val="24"/>
        </w:rPr>
        <w:t xml:space="preserve">would be </w:t>
      </w:r>
      <w:r>
        <w:rPr>
          <w:sz w:val="24"/>
          <w:szCs w:val="24"/>
        </w:rPr>
        <w:t xml:space="preserve">an institution’s </w:t>
      </w:r>
      <w:r>
        <w:rPr>
          <w:sz w:val="23"/>
          <w:szCs w:val="23"/>
        </w:rPr>
        <w:t>submission of documentation from the IRS indicating that (a) the institution sponsor or the part of the organization under which the institution is operating continues to be tax</w:t>
      </w:r>
      <w:r w:rsidR="00AA550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exempt under Section 501(a) of the Internal Revenue Code of 1986 or (b) the institution has submitted an application to the IRS for reinstatement of tax-exempt status. </w:t>
      </w:r>
      <w:r w:rsidR="00A729D9">
        <w:rPr>
          <w:sz w:val="24"/>
          <w:szCs w:val="24"/>
        </w:rPr>
        <w:t xml:space="preserve"> </w:t>
      </w:r>
      <w:r w:rsidR="00EF2D6E">
        <w:rPr>
          <w:sz w:val="24"/>
          <w:szCs w:val="24"/>
        </w:rPr>
        <w:t>(Please note that fees associated with applying for tax</w:t>
      </w:r>
      <w:r w:rsidR="00AA550B">
        <w:rPr>
          <w:sz w:val="24"/>
          <w:szCs w:val="24"/>
        </w:rPr>
        <w:t>-</w:t>
      </w:r>
      <w:r w:rsidR="00EF2D6E">
        <w:rPr>
          <w:sz w:val="24"/>
          <w:szCs w:val="24"/>
        </w:rPr>
        <w:t xml:space="preserve">exempt status are not allowable </w:t>
      </w:r>
      <w:r w:rsidR="0035286F">
        <w:rPr>
          <w:sz w:val="24"/>
          <w:szCs w:val="24"/>
        </w:rPr>
        <w:t xml:space="preserve">CACFP </w:t>
      </w:r>
      <w:r w:rsidR="00EF2D6E">
        <w:rPr>
          <w:sz w:val="24"/>
          <w:szCs w:val="24"/>
        </w:rPr>
        <w:t>costs.)</w:t>
      </w:r>
      <w:r w:rsidR="003B0C6D">
        <w:rPr>
          <w:sz w:val="24"/>
          <w:szCs w:val="24"/>
        </w:rPr>
        <w:t xml:space="preserve">. </w:t>
      </w:r>
      <w:r w:rsidR="00EF2D6E">
        <w:rPr>
          <w:sz w:val="24"/>
          <w:szCs w:val="24"/>
        </w:rPr>
        <w:t xml:space="preserve"> </w:t>
      </w:r>
      <w:r w:rsidR="00C0012D" w:rsidRPr="00C0012D">
        <w:rPr>
          <w:sz w:val="24"/>
          <w:szCs w:val="24"/>
        </w:rPr>
        <w:t xml:space="preserve">If </w:t>
      </w:r>
      <w:r w:rsidR="000F5FCE">
        <w:rPr>
          <w:sz w:val="24"/>
          <w:szCs w:val="24"/>
        </w:rPr>
        <w:t>institutions</w:t>
      </w:r>
      <w:r w:rsidR="00C0012D" w:rsidRPr="00C0012D">
        <w:rPr>
          <w:sz w:val="24"/>
          <w:szCs w:val="24"/>
        </w:rPr>
        <w:t xml:space="preserve"> are unable to provide </w:t>
      </w:r>
      <w:r>
        <w:rPr>
          <w:sz w:val="24"/>
          <w:szCs w:val="24"/>
        </w:rPr>
        <w:t xml:space="preserve">such </w:t>
      </w:r>
      <w:r w:rsidR="00C0012D" w:rsidRPr="00C0012D">
        <w:rPr>
          <w:sz w:val="24"/>
          <w:szCs w:val="24"/>
        </w:rPr>
        <w:t>documentation, the State agency must move to terminate.</w:t>
      </w:r>
    </w:p>
    <w:p w:rsidR="00CA2872" w:rsidRDefault="00CA2872" w:rsidP="00C0012D">
      <w:pPr>
        <w:rPr>
          <w:sz w:val="24"/>
          <w:szCs w:val="24"/>
        </w:rPr>
      </w:pPr>
    </w:p>
    <w:p w:rsidR="00397064" w:rsidRDefault="00397064" w:rsidP="00397064">
      <w:pPr>
        <w:rPr>
          <w:sz w:val="24"/>
          <w:szCs w:val="24"/>
        </w:rPr>
      </w:pPr>
      <w:r>
        <w:rPr>
          <w:sz w:val="24"/>
          <w:szCs w:val="24"/>
        </w:rPr>
        <w:t>Institutions applying for reinstatement must inform the State agency immediately upon receipt of an IRS determination of tax</w:t>
      </w:r>
      <w:r w:rsidR="003B0C6D">
        <w:rPr>
          <w:sz w:val="24"/>
          <w:szCs w:val="24"/>
        </w:rPr>
        <w:t>-</w:t>
      </w:r>
      <w:r>
        <w:rPr>
          <w:sz w:val="24"/>
          <w:szCs w:val="24"/>
        </w:rPr>
        <w:t>exempt status.  The State agency must move to terminate such instit</w:t>
      </w:r>
      <w:r w:rsidR="003B0C6D">
        <w:rPr>
          <w:sz w:val="24"/>
          <w:szCs w:val="24"/>
        </w:rPr>
        <w:t>utions if tax-</w:t>
      </w:r>
      <w:r>
        <w:rPr>
          <w:sz w:val="24"/>
          <w:szCs w:val="24"/>
        </w:rPr>
        <w:t>exempt status has not been reinstated with</w:t>
      </w:r>
      <w:r w:rsidR="003B0C6D">
        <w:rPr>
          <w:sz w:val="24"/>
          <w:szCs w:val="24"/>
        </w:rPr>
        <w:t>in</w:t>
      </w:r>
      <w:r>
        <w:rPr>
          <w:sz w:val="24"/>
          <w:szCs w:val="24"/>
        </w:rPr>
        <w:t xml:space="preserve"> 120 days of their receipt of the origin</w:t>
      </w:r>
      <w:r w:rsidR="00817F44">
        <w:rPr>
          <w:sz w:val="24"/>
          <w:szCs w:val="24"/>
        </w:rPr>
        <w:t>al serious deficiency notice.</w:t>
      </w:r>
    </w:p>
    <w:p w:rsidR="00397064" w:rsidRDefault="00397064" w:rsidP="00C0012D">
      <w:pPr>
        <w:rPr>
          <w:sz w:val="24"/>
          <w:szCs w:val="24"/>
        </w:rPr>
      </w:pPr>
    </w:p>
    <w:p w:rsidR="00B85AF1" w:rsidRDefault="0035286F" w:rsidP="00C0012D">
      <w:pPr>
        <w:rPr>
          <w:sz w:val="24"/>
          <w:szCs w:val="24"/>
        </w:rPr>
      </w:pPr>
      <w:r>
        <w:rPr>
          <w:sz w:val="24"/>
          <w:szCs w:val="24"/>
        </w:rPr>
        <w:t>Additionally, independent child care centers</w:t>
      </w:r>
      <w:r w:rsidR="00C0012D" w:rsidRPr="00C0012D">
        <w:rPr>
          <w:sz w:val="24"/>
          <w:szCs w:val="24"/>
        </w:rPr>
        <w:t xml:space="preserve"> classified as nonprofit that appear on the IRS Automatic Revocation list are subject to the serious deficiency process. </w:t>
      </w:r>
      <w:r w:rsidR="00A729D9">
        <w:rPr>
          <w:sz w:val="24"/>
          <w:szCs w:val="24"/>
        </w:rPr>
        <w:t xml:space="preserve"> </w:t>
      </w:r>
      <w:r w:rsidR="00C0012D" w:rsidRPr="00C0012D">
        <w:rPr>
          <w:sz w:val="24"/>
          <w:szCs w:val="24"/>
        </w:rPr>
        <w:t>Although tax</w:t>
      </w:r>
      <w:r w:rsidR="003B0C6D">
        <w:rPr>
          <w:sz w:val="24"/>
          <w:szCs w:val="24"/>
        </w:rPr>
        <w:t>-</w:t>
      </w:r>
      <w:r w:rsidR="00C0012D" w:rsidRPr="00C0012D">
        <w:rPr>
          <w:sz w:val="24"/>
          <w:szCs w:val="24"/>
        </w:rPr>
        <w:t xml:space="preserve">exempt status is not required for independent centers, if they are not tax exempt they must meet the additional requirements to qualify as a for-profit center [42 USC §1766(a)(2)(B)]. </w:t>
      </w:r>
      <w:r w:rsidR="00A729D9">
        <w:rPr>
          <w:sz w:val="24"/>
          <w:szCs w:val="24"/>
        </w:rPr>
        <w:t xml:space="preserve"> </w:t>
      </w:r>
      <w:r w:rsidR="00C0012D" w:rsidRPr="00C0012D">
        <w:rPr>
          <w:sz w:val="24"/>
          <w:szCs w:val="24"/>
        </w:rPr>
        <w:t xml:space="preserve">If they fail to meet the additional requirements, the State agency must initiate the serious deficiency process outlined in 7 CFR §226.6(c)(3) and move to terminate if </w:t>
      </w:r>
      <w:r w:rsidR="00CA435D">
        <w:rPr>
          <w:sz w:val="24"/>
          <w:szCs w:val="24"/>
        </w:rPr>
        <w:t xml:space="preserve">appropriate corrective action is not taken </w:t>
      </w:r>
      <w:r w:rsidR="00C0012D" w:rsidRPr="00C0012D">
        <w:rPr>
          <w:sz w:val="24"/>
          <w:szCs w:val="24"/>
        </w:rPr>
        <w:t>in the required timeframe.</w:t>
      </w:r>
    </w:p>
    <w:p w:rsidR="00B85AF1" w:rsidRDefault="00B85AF1" w:rsidP="00C0012D">
      <w:pPr>
        <w:rPr>
          <w:sz w:val="24"/>
          <w:szCs w:val="24"/>
        </w:rPr>
      </w:pPr>
    </w:p>
    <w:p w:rsidR="00EF2D6E" w:rsidRDefault="000F5FCE" w:rsidP="00E45694">
      <w:pPr>
        <w:rPr>
          <w:sz w:val="24"/>
          <w:szCs w:val="24"/>
        </w:rPr>
      </w:pPr>
      <w:r>
        <w:rPr>
          <w:sz w:val="24"/>
          <w:szCs w:val="24"/>
        </w:rPr>
        <w:t xml:space="preserve">The Notice of Proposed Termination action </w:t>
      </w:r>
      <w:r w:rsidR="00C0012D" w:rsidRPr="00C0012D">
        <w:rPr>
          <w:sz w:val="24"/>
          <w:szCs w:val="24"/>
        </w:rPr>
        <w:t>based on revocation of tax</w:t>
      </w:r>
      <w:r w:rsidR="003B0C6D">
        <w:rPr>
          <w:sz w:val="24"/>
          <w:szCs w:val="24"/>
        </w:rPr>
        <w:t>-</w:t>
      </w:r>
      <w:r w:rsidR="00C0012D" w:rsidRPr="00C0012D">
        <w:rPr>
          <w:sz w:val="24"/>
          <w:szCs w:val="24"/>
        </w:rPr>
        <w:t>exempt status is subject to administrative review under the procedures described in 7 CFR §226.6(k).</w:t>
      </w:r>
      <w:r w:rsidR="00A729D9">
        <w:rPr>
          <w:sz w:val="24"/>
          <w:szCs w:val="24"/>
        </w:rPr>
        <w:t xml:space="preserve"> </w:t>
      </w:r>
      <w:r w:rsidR="00C0012D" w:rsidRPr="00C0012D">
        <w:rPr>
          <w:sz w:val="24"/>
          <w:szCs w:val="24"/>
        </w:rPr>
        <w:t xml:space="preserve"> State agencies are required to continue to pay valid claims for reimbursement until the State agency terminates the institution’s agreement, including the period of any administrative review [7 CFR §226.6(c)(3)(F)].</w:t>
      </w:r>
      <w:r w:rsidR="00E45694">
        <w:rPr>
          <w:sz w:val="24"/>
          <w:szCs w:val="24"/>
        </w:rPr>
        <w:t xml:space="preserve">  Once the administrative review process has been completed, terminated institutions must be placed on the National Disqualified List (NDL).  Institutions termin</w:t>
      </w:r>
      <w:r w:rsidR="003B0C6D">
        <w:rPr>
          <w:sz w:val="24"/>
          <w:szCs w:val="24"/>
        </w:rPr>
        <w:t>ated based on revocation of tax-</w:t>
      </w:r>
      <w:r w:rsidR="00E45694">
        <w:rPr>
          <w:sz w:val="24"/>
          <w:szCs w:val="24"/>
        </w:rPr>
        <w:t xml:space="preserve">exempt status may request removal from the NDL and reapply </w:t>
      </w:r>
      <w:r w:rsidR="00F017C1">
        <w:rPr>
          <w:sz w:val="24"/>
          <w:szCs w:val="24"/>
        </w:rPr>
        <w:t xml:space="preserve">to participate in CACFP when </w:t>
      </w:r>
      <w:r w:rsidR="003B0C6D">
        <w:rPr>
          <w:sz w:val="24"/>
          <w:szCs w:val="24"/>
        </w:rPr>
        <w:t>tax-</w:t>
      </w:r>
      <w:r w:rsidR="00E45694">
        <w:rPr>
          <w:sz w:val="24"/>
          <w:szCs w:val="24"/>
        </w:rPr>
        <w:t xml:space="preserve">exempt status is reinstated.  </w:t>
      </w:r>
      <w:r w:rsidR="00941AC7">
        <w:rPr>
          <w:sz w:val="24"/>
          <w:szCs w:val="24"/>
        </w:rPr>
        <w:t>Additionally, t</w:t>
      </w:r>
      <w:r w:rsidR="00E45694">
        <w:rPr>
          <w:sz w:val="24"/>
          <w:szCs w:val="24"/>
        </w:rPr>
        <w:t xml:space="preserve">erminated </w:t>
      </w:r>
    </w:p>
    <w:p w:rsidR="00EF2D6E" w:rsidRDefault="00EF2D6E" w:rsidP="00EF2D6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Regional Directors</w:t>
      </w:r>
    </w:p>
    <w:p w:rsidR="00EF2D6E" w:rsidRDefault="00EF2D6E" w:rsidP="00EF2D6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EF2D6E" w:rsidRDefault="00EF2D6E" w:rsidP="00EF2D6E">
      <w:pPr>
        <w:pStyle w:val="Header"/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EF2D6E" w:rsidRDefault="00EF2D6E" w:rsidP="00E45694">
      <w:pPr>
        <w:rPr>
          <w:sz w:val="24"/>
          <w:szCs w:val="24"/>
        </w:rPr>
      </w:pPr>
    </w:p>
    <w:p w:rsidR="00E45694" w:rsidRPr="00C0012D" w:rsidRDefault="00E45694" w:rsidP="00E45694">
      <w:pPr>
        <w:rPr>
          <w:sz w:val="24"/>
          <w:szCs w:val="24"/>
        </w:rPr>
      </w:pPr>
      <w:r>
        <w:rPr>
          <w:sz w:val="24"/>
          <w:szCs w:val="24"/>
        </w:rPr>
        <w:t xml:space="preserve">independent centers are eligible to </w:t>
      </w:r>
      <w:r w:rsidR="00941AC7">
        <w:rPr>
          <w:sz w:val="24"/>
          <w:szCs w:val="24"/>
        </w:rPr>
        <w:t xml:space="preserve">request removal from the NDL and </w:t>
      </w:r>
      <w:r>
        <w:rPr>
          <w:sz w:val="24"/>
          <w:szCs w:val="24"/>
        </w:rPr>
        <w:t xml:space="preserve">reapply </w:t>
      </w:r>
      <w:r w:rsidR="00F017C1">
        <w:rPr>
          <w:sz w:val="24"/>
          <w:szCs w:val="24"/>
        </w:rPr>
        <w:t xml:space="preserve">as </w:t>
      </w:r>
      <w:r>
        <w:rPr>
          <w:sz w:val="24"/>
          <w:szCs w:val="24"/>
        </w:rPr>
        <w:t>for-profit centers if they meet those additional requirements</w:t>
      </w:r>
      <w:r w:rsidR="00941AC7">
        <w:rPr>
          <w:sz w:val="24"/>
          <w:szCs w:val="24"/>
        </w:rPr>
        <w:t xml:space="preserve"> in the future</w:t>
      </w:r>
      <w:r w:rsidR="00817F44">
        <w:rPr>
          <w:sz w:val="24"/>
          <w:szCs w:val="24"/>
        </w:rPr>
        <w:t>.</w:t>
      </w:r>
    </w:p>
    <w:p w:rsidR="00397064" w:rsidRDefault="00397064" w:rsidP="00397064">
      <w:pPr>
        <w:rPr>
          <w:sz w:val="24"/>
          <w:szCs w:val="24"/>
        </w:rPr>
      </w:pPr>
    </w:p>
    <w:p w:rsidR="000F5FCE" w:rsidRDefault="000F5FCE" w:rsidP="000F5FCE">
      <w:pPr>
        <w:rPr>
          <w:sz w:val="24"/>
          <w:szCs w:val="24"/>
        </w:rPr>
      </w:pPr>
      <w:r w:rsidRPr="00C0012D">
        <w:rPr>
          <w:sz w:val="24"/>
          <w:szCs w:val="24"/>
        </w:rPr>
        <w:t xml:space="preserve">By </w:t>
      </w:r>
      <w:r w:rsidR="00507631">
        <w:rPr>
          <w:sz w:val="24"/>
          <w:szCs w:val="24"/>
        </w:rPr>
        <w:t xml:space="preserve">August </w:t>
      </w:r>
      <w:r w:rsidR="0035286F">
        <w:rPr>
          <w:sz w:val="24"/>
          <w:szCs w:val="24"/>
        </w:rPr>
        <w:t>5,</w:t>
      </w:r>
      <w:r w:rsidRPr="00C0012D">
        <w:rPr>
          <w:sz w:val="24"/>
          <w:szCs w:val="24"/>
        </w:rPr>
        <w:t xml:space="preserve"> 2011, all CACFP State agencies must review the IRS Automatic Revocation of Exemption List (List) and determine whether any of the State agencies’ approved CACFP </w:t>
      </w:r>
      <w:r>
        <w:rPr>
          <w:sz w:val="24"/>
          <w:szCs w:val="24"/>
        </w:rPr>
        <w:t>institutions</w:t>
      </w:r>
      <w:r w:rsidRPr="00C0012D">
        <w:rPr>
          <w:sz w:val="24"/>
          <w:szCs w:val="24"/>
        </w:rPr>
        <w:t xml:space="preserve"> are listed. </w:t>
      </w:r>
      <w:r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 xml:space="preserve">The List, which is organized by State, may be found at: </w:t>
      </w:r>
      <w:hyperlink r:id="rId14" w:history="1">
        <w:r w:rsidRPr="00C0012D">
          <w:rPr>
            <w:rStyle w:val="Hyperlink"/>
            <w:sz w:val="24"/>
            <w:szCs w:val="24"/>
          </w:rPr>
          <w:t>http://www.irs.gov/charities/article/0,,id=240099,00.html</w:t>
        </w:r>
      </w:hyperlink>
      <w:r w:rsidRPr="00C0012D">
        <w:rPr>
          <w:sz w:val="24"/>
          <w:szCs w:val="24"/>
        </w:rPr>
        <w:t>.</w:t>
      </w:r>
      <w:r>
        <w:rPr>
          <w:sz w:val="24"/>
          <w:szCs w:val="24"/>
        </w:rPr>
        <w:t xml:space="preserve">  The related serious deficiency notices must be sent to the affected institutio</w:t>
      </w:r>
      <w:r w:rsidR="000F420F">
        <w:rPr>
          <w:sz w:val="24"/>
          <w:szCs w:val="24"/>
        </w:rPr>
        <w:t>n</w:t>
      </w:r>
      <w:r>
        <w:rPr>
          <w:sz w:val="24"/>
          <w:szCs w:val="24"/>
        </w:rPr>
        <w:t xml:space="preserve">s by August </w:t>
      </w:r>
      <w:r w:rsidR="00507631">
        <w:rPr>
          <w:sz w:val="24"/>
          <w:szCs w:val="24"/>
        </w:rPr>
        <w:t>31</w:t>
      </w:r>
      <w:r w:rsidR="00817F44">
        <w:rPr>
          <w:sz w:val="24"/>
          <w:szCs w:val="24"/>
        </w:rPr>
        <w:t>, 2011.</w:t>
      </w:r>
    </w:p>
    <w:p w:rsidR="00912B8D" w:rsidRDefault="00912B8D" w:rsidP="00C0012D">
      <w:pPr>
        <w:pStyle w:val="Header"/>
        <w:rPr>
          <w:sz w:val="24"/>
          <w:szCs w:val="24"/>
        </w:rPr>
      </w:pPr>
    </w:p>
    <w:p w:rsidR="00507631" w:rsidRPr="00C0012D" w:rsidRDefault="00507631" w:rsidP="00507631">
      <w:pPr>
        <w:rPr>
          <w:sz w:val="24"/>
          <w:szCs w:val="24"/>
        </w:rPr>
      </w:pPr>
      <w:r w:rsidRPr="00C0012D">
        <w:rPr>
          <w:sz w:val="24"/>
          <w:szCs w:val="24"/>
        </w:rPr>
        <w:t xml:space="preserve">Additionally, State agencies must check the List for any institution whose application </w:t>
      </w:r>
      <w:r>
        <w:rPr>
          <w:sz w:val="24"/>
          <w:szCs w:val="24"/>
        </w:rPr>
        <w:t>t</w:t>
      </w:r>
      <w:r w:rsidRPr="00C0012D">
        <w:rPr>
          <w:sz w:val="24"/>
          <w:szCs w:val="24"/>
        </w:rPr>
        <w:t xml:space="preserve">o participate in CACFP is pending. </w:t>
      </w:r>
      <w:r w:rsidR="00DE1754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>Applicant sponsors appearing on the IRS list may not be approved</w:t>
      </w:r>
      <w:r w:rsidR="00F017C1">
        <w:rPr>
          <w:sz w:val="24"/>
          <w:szCs w:val="24"/>
        </w:rPr>
        <w:t xml:space="preserve"> unless they can provide </w:t>
      </w:r>
      <w:r w:rsidR="00F017C1" w:rsidRPr="00C0012D">
        <w:rPr>
          <w:sz w:val="24"/>
          <w:szCs w:val="24"/>
        </w:rPr>
        <w:t>IRS documentation indicating that the organization or the part of the organization under which the institution is operating continues to be tax</w:t>
      </w:r>
      <w:r w:rsidR="00DE1754">
        <w:rPr>
          <w:sz w:val="24"/>
          <w:szCs w:val="24"/>
        </w:rPr>
        <w:t>-</w:t>
      </w:r>
      <w:r w:rsidR="00F017C1" w:rsidRPr="00C0012D">
        <w:rPr>
          <w:sz w:val="24"/>
          <w:szCs w:val="24"/>
        </w:rPr>
        <w:t>exempt u</w:t>
      </w:r>
      <w:r w:rsidR="00F017C1">
        <w:rPr>
          <w:sz w:val="24"/>
          <w:szCs w:val="24"/>
        </w:rPr>
        <w:t>nder the Internal Revenue Code</w:t>
      </w:r>
      <w:r w:rsidR="00397064">
        <w:rPr>
          <w:sz w:val="23"/>
          <w:szCs w:val="23"/>
        </w:rPr>
        <w:t>.</w:t>
      </w:r>
      <w:r w:rsidR="00F017C1">
        <w:rPr>
          <w:sz w:val="24"/>
          <w:szCs w:val="24"/>
        </w:rPr>
        <w:t xml:space="preserve">  </w:t>
      </w:r>
      <w:r w:rsidR="00436B06">
        <w:rPr>
          <w:sz w:val="24"/>
          <w:szCs w:val="24"/>
        </w:rPr>
        <w:t>Applicant centers appearing on the list may be approved as for-profit centers if they can demonstrate eligibility.</w:t>
      </w:r>
      <w:r w:rsidR="00DE1754">
        <w:rPr>
          <w:sz w:val="24"/>
          <w:szCs w:val="24"/>
        </w:rPr>
        <w:t xml:space="preserve"> </w:t>
      </w:r>
      <w:r w:rsidR="00436B06">
        <w:rPr>
          <w:sz w:val="24"/>
          <w:szCs w:val="24"/>
        </w:rPr>
        <w:t xml:space="preserve"> </w:t>
      </w:r>
      <w:r w:rsidRPr="00C0012D">
        <w:rPr>
          <w:sz w:val="24"/>
          <w:szCs w:val="24"/>
        </w:rPr>
        <w:t>Going forward, State agencies must check the List before appr</w:t>
      </w:r>
      <w:r>
        <w:rPr>
          <w:sz w:val="24"/>
          <w:szCs w:val="24"/>
        </w:rPr>
        <w:t xml:space="preserve">oving new </w:t>
      </w:r>
      <w:r w:rsidR="00436B06">
        <w:rPr>
          <w:sz w:val="24"/>
          <w:szCs w:val="24"/>
        </w:rPr>
        <w:t xml:space="preserve">institution applications </w:t>
      </w:r>
      <w:r>
        <w:rPr>
          <w:sz w:val="24"/>
          <w:szCs w:val="24"/>
        </w:rPr>
        <w:t xml:space="preserve">or </w:t>
      </w:r>
      <w:r w:rsidR="00436B06">
        <w:rPr>
          <w:sz w:val="24"/>
          <w:szCs w:val="24"/>
        </w:rPr>
        <w:t xml:space="preserve">approving </w:t>
      </w:r>
      <w:r>
        <w:rPr>
          <w:sz w:val="24"/>
          <w:szCs w:val="24"/>
        </w:rPr>
        <w:t xml:space="preserve">renewing </w:t>
      </w:r>
      <w:r w:rsidR="00436B06">
        <w:rPr>
          <w:sz w:val="24"/>
          <w:szCs w:val="24"/>
        </w:rPr>
        <w:t>institution participation</w:t>
      </w:r>
      <w:r w:rsidR="00397064">
        <w:rPr>
          <w:sz w:val="24"/>
          <w:szCs w:val="24"/>
        </w:rPr>
        <w:t xml:space="preserve"> and are encouraged to check the List periodically throughout the year</w:t>
      </w:r>
      <w:r>
        <w:rPr>
          <w:sz w:val="24"/>
          <w:szCs w:val="24"/>
        </w:rPr>
        <w:t>.</w:t>
      </w:r>
    </w:p>
    <w:p w:rsidR="00507631" w:rsidRDefault="00507631" w:rsidP="00912B8D">
      <w:pPr>
        <w:rPr>
          <w:sz w:val="24"/>
          <w:szCs w:val="24"/>
        </w:rPr>
      </w:pPr>
    </w:p>
    <w:p w:rsidR="00912B8D" w:rsidRPr="00C0012D" w:rsidRDefault="00912B8D" w:rsidP="00912B8D">
      <w:pPr>
        <w:rPr>
          <w:sz w:val="24"/>
          <w:szCs w:val="24"/>
        </w:rPr>
      </w:pPr>
      <w:r w:rsidRPr="00C0012D">
        <w:rPr>
          <w:sz w:val="24"/>
          <w:szCs w:val="24"/>
        </w:rPr>
        <w:t xml:space="preserve">To avoid disruption in </w:t>
      </w:r>
      <w:r w:rsidR="000F5FCE">
        <w:rPr>
          <w:sz w:val="24"/>
          <w:szCs w:val="24"/>
        </w:rPr>
        <w:t>Program operation</w:t>
      </w:r>
      <w:r w:rsidRPr="00C0012D">
        <w:rPr>
          <w:sz w:val="24"/>
          <w:szCs w:val="24"/>
        </w:rPr>
        <w:t xml:space="preserve">, State agencies should attempt to identify </w:t>
      </w:r>
      <w:r w:rsidR="000F420F">
        <w:rPr>
          <w:sz w:val="24"/>
          <w:szCs w:val="24"/>
        </w:rPr>
        <w:t xml:space="preserve">and provide guidance to institutions </w:t>
      </w:r>
      <w:r w:rsidR="00817F44">
        <w:rPr>
          <w:sz w:val="24"/>
          <w:szCs w:val="24"/>
        </w:rPr>
        <w:t>in jeopardy of termination.</w:t>
      </w:r>
    </w:p>
    <w:p w:rsidR="00912B8D" w:rsidRPr="00C0012D" w:rsidRDefault="00912B8D" w:rsidP="00C0012D">
      <w:pPr>
        <w:rPr>
          <w:sz w:val="24"/>
          <w:szCs w:val="24"/>
        </w:rPr>
      </w:pPr>
    </w:p>
    <w:p w:rsidR="00C0012D" w:rsidRPr="00C0012D" w:rsidRDefault="00C0012D" w:rsidP="00C0012D">
      <w:pPr>
        <w:rPr>
          <w:sz w:val="24"/>
          <w:szCs w:val="24"/>
        </w:rPr>
      </w:pPr>
      <w:r w:rsidRPr="00C0012D">
        <w:rPr>
          <w:sz w:val="24"/>
          <w:szCs w:val="24"/>
        </w:rPr>
        <w:t>State agencies should direct any questions concerning this guidance to the a</w:t>
      </w:r>
      <w:r w:rsidR="00817F44">
        <w:rPr>
          <w:sz w:val="24"/>
          <w:szCs w:val="24"/>
        </w:rPr>
        <w:t>ppropriate FNS Regional Office.</w:t>
      </w:r>
    </w:p>
    <w:p w:rsidR="00817F44" w:rsidRPr="00713D0A" w:rsidRDefault="00817F44" w:rsidP="00817F44">
      <w:pPr>
        <w:rPr>
          <w:sz w:val="24"/>
          <w:szCs w:val="24"/>
        </w:rPr>
      </w:pPr>
    </w:p>
    <w:p w:rsidR="00817F44" w:rsidRDefault="00296DD3" w:rsidP="00817F4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45720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44" w:rsidRDefault="00817F44" w:rsidP="00817F44">
      <w:pPr>
        <w:rPr>
          <w:noProof/>
          <w:sz w:val="24"/>
          <w:szCs w:val="24"/>
        </w:rPr>
      </w:pPr>
    </w:p>
    <w:p w:rsidR="00817F44" w:rsidRDefault="00817F44" w:rsidP="00817F44">
      <w:pPr>
        <w:rPr>
          <w:sz w:val="24"/>
          <w:szCs w:val="24"/>
        </w:rPr>
      </w:pPr>
      <w:r>
        <w:rPr>
          <w:sz w:val="24"/>
          <w:szCs w:val="24"/>
        </w:rPr>
        <w:t>Cindy Long</w:t>
      </w:r>
    </w:p>
    <w:p w:rsidR="00817F44" w:rsidRDefault="00817F44" w:rsidP="00817F44">
      <w:p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817F44" w:rsidRPr="00511331" w:rsidRDefault="00817F44" w:rsidP="00817F44">
      <w:pPr>
        <w:rPr>
          <w:sz w:val="24"/>
          <w:szCs w:val="24"/>
        </w:rPr>
      </w:pPr>
      <w:r>
        <w:rPr>
          <w:sz w:val="24"/>
          <w:szCs w:val="24"/>
        </w:rPr>
        <w:t>Child Nutrition Division</w:t>
      </w:r>
    </w:p>
    <w:p w:rsidR="00F95B50" w:rsidRDefault="00F95B50" w:rsidP="00817F44">
      <w:pPr>
        <w:rPr>
          <w:sz w:val="24"/>
          <w:szCs w:val="24"/>
        </w:rPr>
      </w:pPr>
    </w:p>
    <w:sectPr w:rsidR="00F95B50" w:rsidSect="001A63D7">
      <w:footerReference w:type="first" r:id="rId16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8CA" w:rsidRDefault="008918CA">
      <w:r>
        <w:separator/>
      </w:r>
    </w:p>
  </w:endnote>
  <w:endnote w:type="continuationSeparator" w:id="0">
    <w:p w:rsidR="008918CA" w:rsidRDefault="0089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0F1" w:rsidRDefault="00B860F1" w:rsidP="001A63D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:rsidR="00B860F1" w:rsidRDefault="00B860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8CA" w:rsidRDefault="008918CA">
      <w:r>
        <w:separator/>
      </w:r>
    </w:p>
  </w:footnote>
  <w:footnote w:type="continuationSeparator" w:id="0">
    <w:p w:rsidR="008918CA" w:rsidRDefault="00891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06AA8"/>
    <w:rsid w:val="000442E6"/>
    <w:rsid w:val="00045E9B"/>
    <w:rsid w:val="000539C3"/>
    <w:rsid w:val="00053CD7"/>
    <w:rsid w:val="000656B2"/>
    <w:rsid w:val="00086573"/>
    <w:rsid w:val="000E5B41"/>
    <w:rsid w:val="000F06BE"/>
    <w:rsid w:val="000F420F"/>
    <w:rsid w:val="000F5FCE"/>
    <w:rsid w:val="001170F8"/>
    <w:rsid w:val="001328FC"/>
    <w:rsid w:val="00141D5D"/>
    <w:rsid w:val="00144D56"/>
    <w:rsid w:val="00151289"/>
    <w:rsid w:val="001A5CFA"/>
    <w:rsid w:val="001A63D7"/>
    <w:rsid w:val="001C2D2B"/>
    <w:rsid w:val="001E610A"/>
    <w:rsid w:val="001F50EA"/>
    <w:rsid w:val="00213C20"/>
    <w:rsid w:val="00221513"/>
    <w:rsid w:val="002438EA"/>
    <w:rsid w:val="00250B6C"/>
    <w:rsid w:val="0026617A"/>
    <w:rsid w:val="00285E0A"/>
    <w:rsid w:val="002907C4"/>
    <w:rsid w:val="00291ECA"/>
    <w:rsid w:val="002939C0"/>
    <w:rsid w:val="00294EE6"/>
    <w:rsid w:val="00296DD3"/>
    <w:rsid w:val="002C604E"/>
    <w:rsid w:val="0031355B"/>
    <w:rsid w:val="00347559"/>
    <w:rsid w:val="0035286F"/>
    <w:rsid w:val="00371EFE"/>
    <w:rsid w:val="003870DD"/>
    <w:rsid w:val="00390ED3"/>
    <w:rsid w:val="00397064"/>
    <w:rsid w:val="003B0C6D"/>
    <w:rsid w:val="003E0490"/>
    <w:rsid w:val="003E1451"/>
    <w:rsid w:val="003F7AEC"/>
    <w:rsid w:val="00436B06"/>
    <w:rsid w:val="00460C1D"/>
    <w:rsid w:val="00463D57"/>
    <w:rsid w:val="00482AE9"/>
    <w:rsid w:val="004D0C3E"/>
    <w:rsid w:val="004F642D"/>
    <w:rsid w:val="00507631"/>
    <w:rsid w:val="005271E4"/>
    <w:rsid w:val="00532077"/>
    <w:rsid w:val="00543F74"/>
    <w:rsid w:val="0058372D"/>
    <w:rsid w:val="00592A2E"/>
    <w:rsid w:val="005C29D7"/>
    <w:rsid w:val="005D0532"/>
    <w:rsid w:val="005D66D2"/>
    <w:rsid w:val="005F73DC"/>
    <w:rsid w:val="00613738"/>
    <w:rsid w:val="00613BC0"/>
    <w:rsid w:val="00633F30"/>
    <w:rsid w:val="006547C2"/>
    <w:rsid w:val="00666E13"/>
    <w:rsid w:val="006C777F"/>
    <w:rsid w:val="00701C92"/>
    <w:rsid w:val="00705E50"/>
    <w:rsid w:val="00706473"/>
    <w:rsid w:val="00724EA7"/>
    <w:rsid w:val="00767324"/>
    <w:rsid w:val="007824E6"/>
    <w:rsid w:val="00791EB8"/>
    <w:rsid w:val="007933A8"/>
    <w:rsid w:val="007A0B85"/>
    <w:rsid w:val="007A5204"/>
    <w:rsid w:val="007A68D5"/>
    <w:rsid w:val="007B0EB0"/>
    <w:rsid w:val="007B75D8"/>
    <w:rsid w:val="007C5026"/>
    <w:rsid w:val="007E3242"/>
    <w:rsid w:val="00817F44"/>
    <w:rsid w:val="00835497"/>
    <w:rsid w:val="00847A10"/>
    <w:rsid w:val="008517BD"/>
    <w:rsid w:val="00851D3A"/>
    <w:rsid w:val="008636BD"/>
    <w:rsid w:val="008717F7"/>
    <w:rsid w:val="00873234"/>
    <w:rsid w:val="008918CA"/>
    <w:rsid w:val="008A4014"/>
    <w:rsid w:val="008A78E8"/>
    <w:rsid w:val="008B3725"/>
    <w:rsid w:val="008B6E6D"/>
    <w:rsid w:val="008C56B6"/>
    <w:rsid w:val="008D3308"/>
    <w:rsid w:val="008E5A23"/>
    <w:rsid w:val="00912B8D"/>
    <w:rsid w:val="00913566"/>
    <w:rsid w:val="00915FD4"/>
    <w:rsid w:val="00924C3E"/>
    <w:rsid w:val="009250D7"/>
    <w:rsid w:val="0092741C"/>
    <w:rsid w:val="00927FFE"/>
    <w:rsid w:val="00941AC7"/>
    <w:rsid w:val="00942CA5"/>
    <w:rsid w:val="009460FB"/>
    <w:rsid w:val="00947272"/>
    <w:rsid w:val="00962C0D"/>
    <w:rsid w:val="009769F3"/>
    <w:rsid w:val="00A14757"/>
    <w:rsid w:val="00A446AC"/>
    <w:rsid w:val="00A50514"/>
    <w:rsid w:val="00A62E23"/>
    <w:rsid w:val="00A65F04"/>
    <w:rsid w:val="00A729D9"/>
    <w:rsid w:val="00A72C09"/>
    <w:rsid w:val="00AA4BF3"/>
    <w:rsid w:val="00AA550B"/>
    <w:rsid w:val="00AC09A9"/>
    <w:rsid w:val="00AE68AB"/>
    <w:rsid w:val="00AF6EC5"/>
    <w:rsid w:val="00B03240"/>
    <w:rsid w:val="00B050A7"/>
    <w:rsid w:val="00B061D5"/>
    <w:rsid w:val="00B324AE"/>
    <w:rsid w:val="00B3390A"/>
    <w:rsid w:val="00B35EB6"/>
    <w:rsid w:val="00B45E93"/>
    <w:rsid w:val="00B53A98"/>
    <w:rsid w:val="00B85AF1"/>
    <w:rsid w:val="00B860F1"/>
    <w:rsid w:val="00B915D8"/>
    <w:rsid w:val="00B92CBF"/>
    <w:rsid w:val="00BA7D68"/>
    <w:rsid w:val="00BB0EB2"/>
    <w:rsid w:val="00BB5B70"/>
    <w:rsid w:val="00BB5FDE"/>
    <w:rsid w:val="00BE0EBF"/>
    <w:rsid w:val="00BF6F4B"/>
    <w:rsid w:val="00C0012D"/>
    <w:rsid w:val="00C10D0D"/>
    <w:rsid w:val="00C430C4"/>
    <w:rsid w:val="00CA2872"/>
    <w:rsid w:val="00CA435D"/>
    <w:rsid w:val="00CC5912"/>
    <w:rsid w:val="00D03270"/>
    <w:rsid w:val="00D05AE8"/>
    <w:rsid w:val="00D1158A"/>
    <w:rsid w:val="00D17810"/>
    <w:rsid w:val="00D23CB6"/>
    <w:rsid w:val="00D3064F"/>
    <w:rsid w:val="00D73B32"/>
    <w:rsid w:val="00D94403"/>
    <w:rsid w:val="00DA061D"/>
    <w:rsid w:val="00DB2A92"/>
    <w:rsid w:val="00DC2E19"/>
    <w:rsid w:val="00DD0ABB"/>
    <w:rsid w:val="00DD6A3C"/>
    <w:rsid w:val="00DE1754"/>
    <w:rsid w:val="00DE1B7C"/>
    <w:rsid w:val="00DF3075"/>
    <w:rsid w:val="00DF5E76"/>
    <w:rsid w:val="00E23DD7"/>
    <w:rsid w:val="00E45694"/>
    <w:rsid w:val="00E669C3"/>
    <w:rsid w:val="00E935D2"/>
    <w:rsid w:val="00EB2B6E"/>
    <w:rsid w:val="00ED249A"/>
    <w:rsid w:val="00EE4F43"/>
    <w:rsid w:val="00EF10EE"/>
    <w:rsid w:val="00EF2D6E"/>
    <w:rsid w:val="00F017C1"/>
    <w:rsid w:val="00F25191"/>
    <w:rsid w:val="00F3388F"/>
    <w:rsid w:val="00F57CA4"/>
    <w:rsid w:val="00F80D63"/>
    <w:rsid w:val="00F95B50"/>
    <w:rsid w:val="00FA327D"/>
    <w:rsid w:val="00FB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paragraph" w:styleId="NormalWeb">
    <w:name w:val="Normal (Web)"/>
    <w:basedOn w:val="Normal"/>
    <w:next w:val="Normal"/>
    <w:uiPriority w:val="99"/>
    <w:rsid w:val="00C0012D"/>
    <w:pPr>
      <w:autoSpaceDE w:val="0"/>
      <w:autoSpaceDN w:val="0"/>
      <w:adjustRightInd w:val="0"/>
      <w:ind w:left="-720" w:firstLine="72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1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rs.gov/charities/article/0,,id=239696,0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rs.gov/charities/article/0,,id=240099,0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A\SHARED\DMT!!!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BEE4AC22AC41884CB244153A7BE4" ma:contentTypeVersion="2" ma:contentTypeDescription="Create a new document." ma:contentTypeScope="" ma:versionID="ee7e4f52ddc121e95704ada543bc7f64">
  <xsd:schema xmlns:xsd="http://www.w3.org/2001/XMLSchema" xmlns:p="http://schemas.microsoft.com/office/2006/metadata/properties" xmlns:ns2="2E44A393-6EDA-4DAF-BC81-A525D0170704" targetNamespace="http://schemas.microsoft.com/office/2006/metadata/properties" ma:root="true" ma:fieldsID="a27fa7ae970bcd2fff4e0e33b6241127" ns2:_="">
    <xsd:import namespace="2E44A393-6EDA-4DAF-BC81-A525D017070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44A393-6EDA-4DAF-BC81-A525D0170704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sue_x0020_Date xmlns="2E44A393-6EDA-4DAF-BC81-A525D0170704">2011-07-25T06:00:00+00:00</Issue_x0020_Date>
    <Description0 xmlns="2E44A393-6EDA-4DAF-BC81-A525D0170704">Automatic Revocation of Tax Exempt Status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EC0B-3818-49B4-BEBC-15CFF30B9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A393-6EDA-4DAF-BC81-A525D01707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089FE62-F94B-4AED-89B7-DD25133795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8197BF1-F801-43B0-9E9B-2CB46D184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1E007-BED7-4259-9411-4D42C3153418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8227CBB-BACC-4881-8731-75619389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3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7280</CharactersWithSpaces>
  <SharedDoc>false</SharedDoc>
  <HLinks>
    <vt:vector size="12" baseType="variant">
      <vt:variant>
        <vt:i4>1572895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http://www.irs.gov/charities/article/0,,id=240099,00.html</vt:lpwstr>
      </vt:variant>
      <vt:variant>
        <vt:lpwstr/>
      </vt:variant>
      <vt:variant>
        <vt:i4>1114129</vt:i4>
      </vt:variant>
      <vt:variant>
        <vt:i4>0</vt:i4>
      </vt:variant>
      <vt:variant>
        <vt:i4>0</vt:i4>
      </vt:variant>
      <vt:variant>
        <vt:i4>5</vt:i4>
      </vt:variant>
      <vt:variant>
        <vt:lpwstr>http://www.irs.gov/charities/article/0,,id=239696,00.html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2011-07-25T15:22:00Z</cp:lastPrinted>
  <dcterms:created xsi:type="dcterms:W3CDTF">2011-08-22T14:47:00Z</dcterms:created>
  <dcterms:modified xsi:type="dcterms:W3CDTF">2011-08-22T14:47:00Z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