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B6" w:rsidRPr="00B712E0" w:rsidRDefault="00496DB6">
      <w:pPr>
        <w:framePr w:w="1378" w:hSpace="180" w:wrap="around" w:vAnchor="text" w:hAnchor="page" w:x="493" w:y="151"/>
        <w:ind w:left="-720" w:firstLine="720"/>
        <w:rPr>
          <w:rFonts w:ascii="Univers" w:hAnsi="Univers"/>
          <w:i/>
        </w:rPr>
      </w:pPr>
    </w:p>
    <w:p w:rsidR="00496DB6" w:rsidRDefault="00496DB6">
      <w:pPr>
        <w:framePr w:w="1378" w:hSpace="180" w:wrap="around" w:vAnchor="text" w:hAnchor="page" w:x="493" w:y="151"/>
        <w:ind w:left="-720" w:firstLine="720"/>
        <w:rPr>
          <w:rFonts w:ascii="Univers" w:hAnsi="Univers"/>
          <w:b/>
          <w:sz w:val="18"/>
        </w:rPr>
      </w:pPr>
      <w:smartTag w:uri="urn:schemas-microsoft-com:office:smarttags" w:element="country-region">
        <w:smartTag w:uri="urn:schemas-microsoft-com:office:smarttags" w:element="place">
          <w:r>
            <w:rPr>
              <w:rFonts w:ascii="Univers" w:hAnsi="Univers"/>
              <w:b/>
              <w:sz w:val="18"/>
            </w:rPr>
            <w:t>United States</w:t>
          </w:r>
        </w:smartTag>
      </w:smartTag>
    </w:p>
    <w:p w:rsidR="00496DB6" w:rsidRDefault="00496DB6">
      <w:pPr>
        <w:framePr w:w="1378" w:hSpace="180" w:wrap="around" w:vAnchor="text" w:hAnchor="page" w:x="493" w:y="151"/>
        <w:ind w:left="-720" w:firstLine="720"/>
        <w:rPr>
          <w:rFonts w:ascii="Univers" w:hAnsi="Univers"/>
          <w:b/>
          <w:sz w:val="18"/>
        </w:rPr>
      </w:pPr>
      <w:r>
        <w:rPr>
          <w:rFonts w:ascii="Univers" w:hAnsi="Univers"/>
          <w:b/>
          <w:sz w:val="18"/>
        </w:rPr>
        <w:t>Department of</w:t>
      </w:r>
    </w:p>
    <w:p w:rsidR="00496DB6" w:rsidRDefault="00496DB6">
      <w:pPr>
        <w:framePr w:w="1378" w:hSpace="180" w:wrap="around" w:vAnchor="text" w:hAnchor="page" w:x="493" w:y="151"/>
        <w:ind w:left="-720" w:firstLine="720"/>
      </w:pPr>
      <w:r>
        <w:rPr>
          <w:rFonts w:ascii="Univers" w:hAnsi="Univers"/>
          <w:b/>
          <w:sz w:val="18"/>
        </w:rPr>
        <w:t>Agriculture</w:t>
      </w:r>
    </w:p>
    <w:p w:rsidR="00496DB6" w:rsidRDefault="00496DB6">
      <w:pPr>
        <w:framePr w:w="1378" w:hSpace="180" w:wrap="around" w:vAnchor="text" w:hAnchor="page" w:x="493" w:y="151"/>
        <w:ind w:left="-720" w:firstLine="720"/>
      </w:pPr>
    </w:p>
    <w:p w:rsidR="00496DB6" w:rsidRDefault="00496DB6">
      <w:pPr>
        <w:framePr w:w="1378" w:hSpace="180" w:wrap="around" w:vAnchor="text" w:hAnchor="page" w:x="493" w:y="151"/>
        <w:ind w:left="-720" w:firstLine="720"/>
        <w:rPr>
          <w:rFonts w:ascii="Univers" w:hAnsi="Univers"/>
          <w:sz w:val="16"/>
        </w:rPr>
      </w:pPr>
      <w:r>
        <w:rPr>
          <w:rFonts w:ascii="Univers" w:hAnsi="Univers"/>
          <w:sz w:val="16"/>
        </w:rPr>
        <w:t>Food and</w:t>
      </w:r>
    </w:p>
    <w:p w:rsidR="00496DB6" w:rsidRDefault="00496DB6">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496DB6" w:rsidRDefault="00496DB6">
      <w:pPr>
        <w:framePr w:w="1378" w:hSpace="180" w:wrap="around" w:vAnchor="text" w:hAnchor="page" w:x="493" w:y="151"/>
        <w:ind w:left="-720" w:firstLine="720"/>
        <w:rPr>
          <w:rFonts w:ascii="Univers" w:hAnsi="Univers"/>
          <w:sz w:val="16"/>
        </w:rPr>
      </w:pPr>
      <w:r>
        <w:rPr>
          <w:rFonts w:ascii="Univers" w:hAnsi="Univers"/>
          <w:sz w:val="16"/>
        </w:rPr>
        <w:t>Service</w:t>
      </w: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r>
        <w:rPr>
          <w:rFonts w:ascii="Univers" w:hAnsi="Univers"/>
          <w:sz w:val="16"/>
        </w:rPr>
        <w:t>3101 Park</w:t>
      </w:r>
    </w:p>
    <w:p w:rsidR="00496DB6" w:rsidRDefault="00496DB6">
      <w:pPr>
        <w:framePr w:w="1378" w:hSpace="180" w:wrap="around" w:vAnchor="text" w:hAnchor="page" w:x="493" w:y="151"/>
        <w:ind w:left="-720" w:firstLine="720"/>
        <w:rPr>
          <w:rFonts w:ascii="Univers" w:hAnsi="Univers"/>
          <w:sz w:val="16"/>
        </w:rPr>
      </w:pPr>
      <w:r>
        <w:rPr>
          <w:rFonts w:ascii="Univers" w:hAnsi="Univers"/>
          <w:sz w:val="16"/>
        </w:rPr>
        <w:t>Center Drive</w:t>
      </w:r>
    </w:p>
    <w:p w:rsidR="00496DB6" w:rsidRDefault="00496DB6">
      <w:pPr>
        <w:framePr w:w="1378" w:hSpace="180" w:wrap="around" w:vAnchor="text" w:hAnchor="page" w:x="493" w:y="151"/>
        <w:ind w:left="-720" w:firstLine="720"/>
        <w:rPr>
          <w:rFonts w:ascii="Univers" w:hAnsi="Univers"/>
          <w:sz w:val="16"/>
        </w:rPr>
      </w:pPr>
      <w:smartTag w:uri="urn:schemas-microsoft-com:office:smarttags" w:element="City">
        <w:smartTag w:uri="urn:schemas-microsoft-com:office:smarttags" w:element="place">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496DB6" w:rsidRDefault="00496DB6">
      <w:pPr>
        <w:framePr w:w="1378" w:hSpace="180" w:wrap="around" w:vAnchor="text" w:hAnchor="page" w:x="493" w:y="151"/>
        <w:ind w:left="-720" w:firstLine="720"/>
        <w:rPr>
          <w:rFonts w:ascii="Univers" w:hAnsi="Univers"/>
          <w:sz w:val="16"/>
        </w:rPr>
      </w:pPr>
      <w:r>
        <w:rPr>
          <w:rFonts w:ascii="Univers" w:hAnsi="Univers"/>
          <w:sz w:val="16"/>
        </w:rPr>
        <w:t>22302-1500</w:t>
      </w: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rPr>
      </w:pPr>
    </w:p>
    <w:p w:rsidR="00496DB6" w:rsidRDefault="00496DB6" w:rsidP="008A78E8">
      <w:pPr>
        <w:rPr>
          <w:sz w:val="23"/>
        </w:rPr>
      </w:pPr>
    </w:p>
    <w:p w:rsidR="00496DB6" w:rsidRDefault="00075B77"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C0D0E" w:rsidRDefault="007C0D0E" w:rsidP="0090271D">
      <w:pPr>
        <w:rPr>
          <w:sz w:val="24"/>
          <w:szCs w:val="24"/>
        </w:rPr>
      </w:pPr>
    </w:p>
    <w:p w:rsidR="00496DB6" w:rsidRDefault="00496DB6" w:rsidP="0090271D">
      <w:pPr>
        <w:rPr>
          <w:sz w:val="24"/>
          <w:szCs w:val="24"/>
        </w:rPr>
      </w:pPr>
      <w:r>
        <w:rPr>
          <w:sz w:val="24"/>
          <w:szCs w:val="24"/>
        </w:rPr>
        <w:t>DATE:</w:t>
      </w:r>
      <w:r w:rsidR="00055505">
        <w:rPr>
          <w:sz w:val="24"/>
          <w:szCs w:val="24"/>
        </w:rPr>
        <w:tab/>
      </w:r>
      <w:r w:rsidR="00055505">
        <w:rPr>
          <w:sz w:val="24"/>
          <w:szCs w:val="24"/>
        </w:rPr>
        <w:tab/>
      </w:r>
      <w:r w:rsidR="00055505">
        <w:rPr>
          <w:sz w:val="24"/>
          <w:szCs w:val="24"/>
        </w:rPr>
        <w:tab/>
        <w:t xml:space="preserve">April </w:t>
      </w:r>
      <w:r w:rsidR="00056265">
        <w:rPr>
          <w:sz w:val="24"/>
          <w:szCs w:val="24"/>
        </w:rPr>
        <w:t>8</w:t>
      </w:r>
      <w:r w:rsidR="00055505">
        <w:rPr>
          <w:sz w:val="24"/>
          <w:szCs w:val="24"/>
        </w:rPr>
        <w:t>, 2011</w:t>
      </w:r>
    </w:p>
    <w:p w:rsidR="00496DB6" w:rsidRDefault="00496DB6" w:rsidP="0090271D">
      <w:pPr>
        <w:rPr>
          <w:sz w:val="24"/>
          <w:szCs w:val="24"/>
        </w:rPr>
      </w:pPr>
    </w:p>
    <w:p w:rsidR="00496DB6" w:rsidRDefault="00496DB6" w:rsidP="0090271D">
      <w:pPr>
        <w:rPr>
          <w:sz w:val="24"/>
          <w:szCs w:val="24"/>
        </w:rPr>
      </w:pPr>
      <w:r>
        <w:rPr>
          <w:sz w:val="24"/>
          <w:szCs w:val="24"/>
        </w:rPr>
        <w:t>MEMO CODE:</w:t>
      </w:r>
      <w:r w:rsidR="00055505">
        <w:rPr>
          <w:sz w:val="24"/>
          <w:szCs w:val="24"/>
        </w:rPr>
        <w:tab/>
        <w:t>CACFP 1</w:t>
      </w:r>
      <w:r w:rsidR="00056265">
        <w:rPr>
          <w:sz w:val="24"/>
          <w:szCs w:val="24"/>
        </w:rPr>
        <w:t>8</w:t>
      </w:r>
      <w:r w:rsidR="00055505">
        <w:rPr>
          <w:sz w:val="24"/>
          <w:szCs w:val="24"/>
        </w:rPr>
        <w:t>-2011</w:t>
      </w:r>
    </w:p>
    <w:p w:rsidR="00496DB6" w:rsidRDefault="00496DB6" w:rsidP="0090271D">
      <w:pPr>
        <w:rPr>
          <w:sz w:val="24"/>
          <w:szCs w:val="24"/>
        </w:rPr>
      </w:pPr>
    </w:p>
    <w:p w:rsidR="00056265" w:rsidRDefault="00496DB6" w:rsidP="00056265">
      <w:pPr>
        <w:ind w:left="7200" w:hanging="1440"/>
        <w:rPr>
          <w:sz w:val="24"/>
          <w:szCs w:val="24"/>
        </w:rPr>
      </w:pPr>
      <w:r>
        <w:rPr>
          <w:sz w:val="24"/>
          <w:szCs w:val="24"/>
        </w:rPr>
        <w:t>SUBJECT:</w:t>
      </w:r>
      <w:r w:rsidRPr="007D4A45">
        <w:rPr>
          <w:b/>
        </w:rPr>
        <w:t xml:space="preserve"> </w:t>
      </w:r>
      <w:r>
        <w:rPr>
          <w:b/>
        </w:rPr>
        <w:tab/>
      </w:r>
      <w:r w:rsidR="00055505">
        <w:rPr>
          <w:b/>
        </w:rPr>
        <w:tab/>
      </w:r>
      <w:r w:rsidR="00056265">
        <w:rPr>
          <w:sz w:val="24"/>
          <w:szCs w:val="24"/>
        </w:rPr>
        <w:t>Child Nutrition Reauthorization 2010:  Carry Over of Unused</w:t>
      </w:r>
    </w:p>
    <w:p w:rsidR="00056265" w:rsidRDefault="00056265" w:rsidP="00056265">
      <w:pPr>
        <w:ind w:left="7200" w:hanging="1440"/>
        <w:rPr>
          <w:sz w:val="24"/>
          <w:szCs w:val="24"/>
        </w:rPr>
      </w:pPr>
      <w:r>
        <w:rPr>
          <w:sz w:val="24"/>
          <w:szCs w:val="24"/>
        </w:rPr>
        <w:tab/>
      </w:r>
      <w:r>
        <w:rPr>
          <w:sz w:val="24"/>
          <w:szCs w:val="24"/>
        </w:rPr>
        <w:tab/>
      </w:r>
      <w:r>
        <w:rPr>
          <w:sz w:val="24"/>
          <w:szCs w:val="24"/>
        </w:rPr>
        <w:tab/>
        <w:t>Child and Adult Care Food Program Administrative Payments</w:t>
      </w:r>
    </w:p>
    <w:p w:rsidR="00496DB6" w:rsidRDefault="00496DB6" w:rsidP="00056265">
      <w:pPr>
        <w:ind w:left="1440" w:hanging="1440"/>
        <w:rPr>
          <w:sz w:val="24"/>
          <w:szCs w:val="24"/>
        </w:rPr>
      </w:pPr>
    </w:p>
    <w:p w:rsidR="00496DB6" w:rsidRDefault="00496DB6" w:rsidP="0090271D">
      <w:pPr>
        <w:rPr>
          <w:sz w:val="24"/>
          <w:szCs w:val="24"/>
        </w:rPr>
      </w:pPr>
      <w:r>
        <w:rPr>
          <w:sz w:val="24"/>
          <w:szCs w:val="24"/>
        </w:rPr>
        <w:t>TO:</w:t>
      </w:r>
      <w:r>
        <w:rPr>
          <w:sz w:val="24"/>
          <w:szCs w:val="24"/>
        </w:rPr>
        <w:tab/>
      </w:r>
      <w:r>
        <w:rPr>
          <w:sz w:val="24"/>
          <w:szCs w:val="24"/>
        </w:rPr>
        <w:tab/>
      </w:r>
      <w:r w:rsidR="00882330">
        <w:rPr>
          <w:sz w:val="24"/>
          <w:szCs w:val="24"/>
        </w:rPr>
        <w:tab/>
      </w:r>
      <w:r>
        <w:rPr>
          <w:sz w:val="24"/>
          <w:szCs w:val="24"/>
        </w:rPr>
        <w:t>Regional Directors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Special Nutrition Programs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All Regions</w:t>
      </w:r>
    </w:p>
    <w:p w:rsidR="00496DB6" w:rsidRDefault="00496DB6" w:rsidP="0090271D">
      <w:pPr>
        <w:rPr>
          <w:sz w:val="24"/>
          <w:szCs w:val="24"/>
        </w:rPr>
      </w:pP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State Directors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Child Nutrition Programs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All States</w:t>
      </w:r>
    </w:p>
    <w:p w:rsidR="00496DB6" w:rsidRDefault="00496DB6" w:rsidP="0090271D">
      <w:pPr>
        <w:rPr>
          <w:sz w:val="24"/>
          <w:szCs w:val="24"/>
        </w:rPr>
      </w:pPr>
    </w:p>
    <w:p w:rsidR="00B712E0" w:rsidRPr="00B46C77" w:rsidRDefault="00B712E0" w:rsidP="00B712E0">
      <w:pPr>
        <w:autoSpaceDE w:val="0"/>
        <w:autoSpaceDN w:val="0"/>
        <w:adjustRightInd w:val="0"/>
        <w:rPr>
          <w:sz w:val="24"/>
          <w:szCs w:val="24"/>
        </w:rPr>
      </w:pPr>
      <w:r w:rsidRPr="00B46C77">
        <w:rPr>
          <w:sz w:val="24"/>
          <w:szCs w:val="24"/>
        </w:rPr>
        <w:t xml:space="preserve">The Healthy, Hunger-Free Kids Act of 2010 (the Act), Public Law 111-296, modified the </w:t>
      </w:r>
      <w:r>
        <w:rPr>
          <w:sz w:val="24"/>
          <w:szCs w:val="24"/>
        </w:rPr>
        <w:t xml:space="preserve">basis for making </w:t>
      </w:r>
      <w:r w:rsidRPr="00B46C77">
        <w:rPr>
          <w:sz w:val="24"/>
          <w:szCs w:val="24"/>
        </w:rPr>
        <w:t xml:space="preserve">administrative </w:t>
      </w:r>
      <w:r>
        <w:rPr>
          <w:sz w:val="24"/>
          <w:szCs w:val="24"/>
        </w:rPr>
        <w:t>payments</w:t>
      </w:r>
      <w:r w:rsidRPr="00B46C77">
        <w:rPr>
          <w:sz w:val="24"/>
          <w:szCs w:val="24"/>
        </w:rPr>
        <w:t xml:space="preserve"> to family day care home (FDCH) </w:t>
      </w:r>
      <w:r>
        <w:rPr>
          <w:sz w:val="24"/>
          <w:szCs w:val="24"/>
        </w:rPr>
        <w:t xml:space="preserve">sponsoring organizations (sponsors) </w:t>
      </w:r>
      <w:r w:rsidRPr="00B46C77">
        <w:rPr>
          <w:sz w:val="24"/>
          <w:szCs w:val="24"/>
        </w:rPr>
        <w:t>in the Child and Adult Care Food Program (CACFP).</w:t>
      </w:r>
      <w:r>
        <w:rPr>
          <w:sz w:val="24"/>
          <w:szCs w:val="24"/>
        </w:rPr>
        <w:t xml:space="preserve"> </w:t>
      </w:r>
      <w:r w:rsidRPr="00B46C77">
        <w:rPr>
          <w:sz w:val="24"/>
          <w:szCs w:val="24"/>
        </w:rPr>
        <w:t xml:space="preserve"> </w:t>
      </w:r>
      <w:r>
        <w:rPr>
          <w:sz w:val="24"/>
          <w:szCs w:val="24"/>
        </w:rPr>
        <w:t xml:space="preserve">An earlier memorandum implemented the Act’s provision regarding the monthly calculation of FDCH sponsors’ administrative payments (CACFP 06-2011, dated December 22, 2010). </w:t>
      </w:r>
      <w:r w:rsidR="000E3ADE">
        <w:rPr>
          <w:sz w:val="24"/>
          <w:szCs w:val="24"/>
        </w:rPr>
        <w:t xml:space="preserve"> </w:t>
      </w:r>
      <w:r>
        <w:rPr>
          <w:sz w:val="24"/>
          <w:szCs w:val="24"/>
        </w:rPr>
        <w:t>T</w:t>
      </w:r>
      <w:r w:rsidRPr="00B46C77">
        <w:rPr>
          <w:sz w:val="24"/>
          <w:szCs w:val="24"/>
        </w:rPr>
        <w:t>his memorandum provide</w:t>
      </w:r>
      <w:r>
        <w:rPr>
          <w:sz w:val="24"/>
          <w:szCs w:val="24"/>
        </w:rPr>
        <w:t>s</w:t>
      </w:r>
      <w:r w:rsidRPr="00B46C77">
        <w:rPr>
          <w:sz w:val="24"/>
          <w:szCs w:val="24"/>
        </w:rPr>
        <w:t xml:space="preserve"> guidance on implementation of </w:t>
      </w:r>
      <w:r>
        <w:rPr>
          <w:sz w:val="24"/>
          <w:szCs w:val="24"/>
        </w:rPr>
        <w:t>the Act’s provision regarding a FDCH sponsor’s ability to “carry over” a limited amount of unused administrative payments from one year to the next</w:t>
      </w:r>
      <w:r w:rsidRPr="00B46C77">
        <w:rPr>
          <w:sz w:val="24"/>
          <w:szCs w:val="24"/>
        </w:rPr>
        <w:t>.</w:t>
      </w:r>
    </w:p>
    <w:p w:rsidR="00B712E0" w:rsidRPr="00B46C77" w:rsidRDefault="00B712E0" w:rsidP="00B712E0">
      <w:pPr>
        <w:autoSpaceDE w:val="0"/>
        <w:autoSpaceDN w:val="0"/>
        <w:adjustRightInd w:val="0"/>
        <w:rPr>
          <w:sz w:val="24"/>
          <w:szCs w:val="24"/>
        </w:rPr>
      </w:pPr>
    </w:p>
    <w:p w:rsidR="00402A77" w:rsidRDefault="00B712E0" w:rsidP="00402A77">
      <w:pPr>
        <w:rPr>
          <w:sz w:val="24"/>
          <w:szCs w:val="24"/>
        </w:rPr>
      </w:pPr>
      <w:r w:rsidRPr="00B46C77">
        <w:rPr>
          <w:sz w:val="24"/>
          <w:szCs w:val="24"/>
        </w:rPr>
        <w:t>Section 334 of the Act amends section 17(f)(3) of the Richard B. Russell National School Lunch Act</w:t>
      </w:r>
      <w:r>
        <w:rPr>
          <w:sz w:val="24"/>
          <w:szCs w:val="24"/>
        </w:rPr>
        <w:t xml:space="preserve"> (NSLA) (</w:t>
      </w:r>
      <w:r w:rsidRPr="00B46C77">
        <w:rPr>
          <w:sz w:val="24"/>
          <w:szCs w:val="24"/>
        </w:rPr>
        <w:t>42 U.S.C. 1766(f)</w:t>
      </w:r>
      <w:r>
        <w:rPr>
          <w:sz w:val="24"/>
          <w:szCs w:val="24"/>
        </w:rPr>
        <w:t>)</w:t>
      </w:r>
      <w:r w:rsidRPr="00B46C77">
        <w:rPr>
          <w:sz w:val="24"/>
          <w:szCs w:val="24"/>
        </w:rPr>
        <w:t xml:space="preserve"> to </w:t>
      </w:r>
      <w:r>
        <w:rPr>
          <w:sz w:val="24"/>
          <w:szCs w:val="24"/>
        </w:rPr>
        <w:t>permit FDCH sponsors to</w:t>
      </w:r>
      <w:r w:rsidRPr="00B46C77">
        <w:rPr>
          <w:sz w:val="24"/>
          <w:szCs w:val="24"/>
        </w:rPr>
        <w:t xml:space="preserve"> carry over a maximum of </w:t>
      </w:r>
      <w:r>
        <w:rPr>
          <w:sz w:val="24"/>
          <w:szCs w:val="24"/>
        </w:rPr>
        <w:t>10</w:t>
      </w:r>
      <w:r w:rsidRPr="00B46C77">
        <w:rPr>
          <w:sz w:val="24"/>
          <w:szCs w:val="24"/>
        </w:rPr>
        <w:t xml:space="preserve"> percent of administrative </w:t>
      </w:r>
      <w:r>
        <w:rPr>
          <w:sz w:val="24"/>
          <w:szCs w:val="24"/>
        </w:rPr>
        <w:t>payments</w:t>
      </w:r>
      <w:r w:rsidRPr="00B46C77">
        <w:rPr>
          <w:sz w:val="24"/>
          <w:szCs w:val="24"/>
        </w:rPr>
        <w:t xml:space="preserve"> into the </w:t>
      </w:r>
      <w:r>
        <w:rPr>
          <w:sz w:val="24"/>
          <w:szCs w:val="24"/>
        </w:rPr>
        <w:t>succeeding</w:t>
      </w:r>
      <w:r w:rsidRPr="00B46C77">
        <w:rPr>
          <w:sz w:val="24"/>
          <w:szCs w:val="24"/>
        </w:rPr>
        <w:t xml:space="preserve"> fiscal year</w:t>
      </w:r>
      <w:r>
        <w:rPr>
          <w:sz w:val="24"/>
          <w:szCs w:val="24"/>
        </w:rPr>
        <w:t>.</w:t>
      </w:r>
      <w:r w:rsidRPr="0002191B">
        <w:rPr>
          <w:sz w:val="24"/>
          <w:szCs w:val="24"/>
        </w:rPr>
        <w:t xml:space="preserve"> </w:t>
      </w:r>
      <w:r w:rsidR="000E3ADE">
        <w:rPr>
          <w:sz w:val="24"/>
          <w:szCs w:val="24"/>
        </w:rPr>
        <w:t xml:space="preserve"> </w:t>
      </w:r>
      <w:r>
        <w:rPr>
          <w:sz w:val="24"/>
          <w:szCs w:val="24"/>
        </w:rPr>
        <w:t xml:space="preserve">In accordance with section 17(f)(3)(B)(iii) of the NSLA, as amended by the Act, the 10 percent maximum on the amount of administrative funds that may be carried over must be based on the total amount of homes times rates administrative payments received by the FDCH sponsor over for the fiscal year. </w:t>
      </w:r>
      <w:r w:rsidR="000E3ADE">
        <w:rPr>
          <w:sz w:val="24"/>
          <w:szCs w:val="24"/>
        </w:rPr>
        <w:t xml:space="preserve"> </w:t>
      </w:r>
      <w:r>
        <w:rPr>
          <w:sz w:val="24"/>
          <w:szCs w:val="24"/>
        </w:rPr>
        <w:t>Administrative funds remaining at the end of the fiscal year that exceed 10 percent of that fiscal year’s administrative payments must</w:t>
      </w:r>
      <w:r w:rsidR="00402A77">
        <w:rPr>
          <w:sz w:val="24"/>
          <w:szCs w:val="24"/>
        </w:rPr>
        <w:t xml:space="preserve"> be returned to the State agency. </w:t>
      </w:r>
      <w:r w:rsidR="000E3ADE">
        <w:rPr>
          <w:sz w:val="24"/>
          <w:szCs w:val="24"/>
        </w:rPr>
        <w:t xml:space="preserve"> </w:t>
      </w:r>
      <w:r w:rsidR="00402A77" w:rsidRPr="009D3E4B">
        <w:rPr>
          <w:sz w:val="24"/>
          <w:szCs w:val="24"/>
        </w:rPr>
        <w:t xml:space="preserve">If the </w:t>
      </w:r>
      <w:r w:rsidR="00402A77">
        <w:rPr>
          <w:sz w:val="24"/>
          <w:szCs w:val="24"/>
        </w:rPr>
        <w:t xml:space="preserve">10 percent </w:t>
      </w:r>
      <w:r w:rsidR="00402A77" w:rsidRPr="009D3E4B">
        <w:rPr>
          <w:sz w:val="24"/>
          <w:szCs w:val="24"/>
        </w:rPr>
        <w:t xml:space="preserve">carryover </w:t>
      </w:r>
      <w:r w:rsidR="00402A77">
        <w:rPr>
          <w:sz w:val="24"/>
          <w:szCs w:val="24"/>
        </w:rPr>
        <w:t>funds are</w:t>
      </w:r>
      <w:r w:rsidR="00402A77" w:rsidRPr="009D3E4B">
        <w:rPr>
          <w:sz w:val="24"/>
          <w:szCs w:val="24"/>
        </w:rPr>
        <w:t xml:space="preserve"> not expended in the </w:t>
      </w:r>
      <w:r w:rsidR="00402A77">
        <w:rPr>
          <w:sz w:val="24"/>
          <w:szCs w:val="24"/>
        </w:rPr>
        <w:t>succeeding</w:t>
      </w:r>
      <w:r w:rsidR="00402A77" w:rsidRPr="009D3E4B">
        <w:rPr>
          <w:sz w:val="24"/>
          <w:szCs w:val="24"/>
        </w:rPr>
        <w:t xml:space="preserve"> </w:t>
      </w:r>
      <w:r w:rsidR="00402A77">
        <w:rPr>
          <w:sz w:val="24"/>
          <w:szCs w:val="24"/>
        </w:rPr>
        <w:t>fiscal year</w:t>
      </w:r>
      <w:r w:rsidR="00402A77" w:rsidRPr="009D3E4B">
        <w:rPr>
          <w:sz w:val="24"/>
          <w:szCs w:val="24"/>
        </w:rPr>
        <w:t xml:space="preserve">, </w:t>
      </w:r>
      <w:r w:rsidR="00402A77">
        <w:rPr>
          <w:sz w:val="24"/>
          <w:szCs w:val="24"/>
        </w:rPr>
        <w:t xml:space="preserve">the FDCH sponsor is required to return the unused funds </w:t>
      </w:r>
      <w:r w:rsidR="00402A77" w:rsidRPr="009D3E4B">
        <w:rPr>
          <w:sz w:val="24"/>
          <w:szCs w:val="24"/>
        </w:rPr>
        <w:t xml:space="preserve">to the </w:t>
      </w:r>
      <w:r w:rsidR="00402A77" w:rsidRPr="00657E67">
        <w:rPr>
          <w:sz w:val="24"/>
          <w:szCs w:val="24"/>
        </w:rPr>
        <w:t xml:space="preserve">State agency. A sponsor can avoid that situation by using its payments for CACFP administrative costs on a first-in-first-out basis.  </w:t>
      </w:r>
    </w:p>
    <w:p w:rsidR="00402A77" w:rsidRPr="00657E67" w:rsidRDefault="00402A77" w:rsidP="00402A77">
      <w:pPr>
        <w:rPr>
          <w:sz w:val="24"/>
          <w:szCs w:val="24"/>
        </w:rPr>
      </w:pPr>
    </w:p>
    <w:p w:rsidR="00402A77" w:rsidRDefault="00402A77" w:rsidP="00402A77">
      <w:pPr>
        <w:rPr>
          <w:sz w:val="24"/>
          <w:szCs w:val="24"/>
        </w:rPr>
      </w:pPr>
      <w:r>
        <w:rPr>
          <w:sz w:val="24"/>
          <w:szCs w:val="24"/>
        </w:rPr>
        <w:t>FDCH s</w:t>
      </w:r>
      <w:r w:rsidRPr="007D47AB">
        <w:rPr>
          <w:sz w:val="24"/>
          <w:szCs w:val="24"/>
        </w:rPr>
        <w:t>ponsor</w:t>
      </w:r>
      <w:r>
        <w:rPr>
          <w:sz w:val="24"/>
          <w:szCs w:val="24"/>
        </w:rPr>
        <w:t xml:space="preserve">s </w:t>
      </w:r>
      <w:r w:rsidRPr="007D47AB">
        <w:rPr>
          <w:sz w:val="24"/>
          <w:szCs w:val="24"/>
        </w:rPr>
        <w:t>are still required to submit annual budgets that must be approved by the State agency</w:t>
      </w:r>
      <w:r>
        <w:rPr>
          <w:sz w:val="24"/>
          <w:szCs w:val="24"/>
        </w:rPr>
        <w:t>, and the amount carried over must be accounted for in the sponsor’s budget for the succeeding fiscal year</w:t>
      </w:r>
      <w:r w:rsidRPr="007D47AB">
        <w:rPr>
          <w:sz w:val="24"/>
          <w:szCs w:val="24"/>
        </w:rPr>
        <w:t>.</w:t>
      </w:r>
      <w:r w:rsidR="000E3ADE">
        <w:rPr>
          <w:sz w:val="24"/>
          <w:szCs w:val="24"/>
        </w:rPr>
        <w:t xml:space="preserve"> </w:t>
      </w:r>
      <w:r w:rsidRPr="007D47AB">
        <w:rPr>
          <w:sz w:val="24"/>
          <w:szCs w:val="24"/>
        </w:rPr>
        <w:t xml:space="preserve"> Further, </w:t>
      </w:r>
      <w:r>
        <w:rPr>
          <w:sz w:val="24"/>
          <w:szCs w:val="24"/>
        </w:rPr>
        <w:t xml:space="preserve">FDCH sponsors </w:t>
      </w:r>
      <w:r w:rsidRPr="007D47AB">
        <w:rPr>
          <w:sz w:val="24"/>
          <w:szCs w:val="24"/>
        </w:rPr>
        <w:t>remain responsible for correctly accounting for costs</w:t>
      </w:r>
      <w:r>
        <w:rPr>
          <w:sz w:val="24"/>
          <w:szCs w:val="24"/>
        </w:rPr>
        <w:t>,</w:t>
      </w:r>
      <w:r w:rsidRPr="007D47AB">
        <w:rPr>
          <w:sz w:val="24"/>
          <w:szCs w:val="24"/>
        </w:rPr>
        <w:t xml:space="preserve"> and maintaining records and sufficient supporting documentation to demonstrate that costs claimed have been incurred</w:t>
      </w:r>
      <w:r>
        <w:rPr>
          <w:sz w:val="24"/>
          <w:szCs w:val="24"/>
        </w:rPr>
        <w:t>,</w:t>
      </w:r>
      <w:r w:rsidRPr="007D47AB">
        <w:rPr>
          <w:sz w:val="24"/>
          <w:szCs w:val="24"/>
        </w:rPr>
        <w:t xml:space="preserve"> are </w:t>
      </w:r>
      <w:r>
        <w:rPr>
          <w:sz w:val="24"/>
          <w:szCs w:val="24"/>
        </w:rPr>
        <w:t>allowable</w:t>
      </w:r>
      <w:r w:rsidRPr="007D47AB">
        <w:rPr>
          <w:sz w:val="24"/>
          <w:szCs w:val="24"/>
        </w:rPr>
        <w:t>, and comply with a</w:t>
      </w:r>
      <w:r>
        <w:rPr>
          <w:sz w:val="24"/>
          <w:szCs w:val="24"/>
        </w:rPr>
        <w:t>ll</w:t>
      </w:r>
      <w:r w:rsidRPr="007D47AB">
        <w:rPr>
          <w:sz w:val="24"/>
          <w:szCs w:val="24"/>
        </w:rPr>
        <w:t xml:space="preserve"> applicable Program regulations and policies.  </w:t>
      </w:r>
    </w:p>
    <w:p w:rsidR="00402A77" w:rsidRDefault="00402A77" w:rsidP="00402A77">
      <w:pPr>
        <w:rPr>
          <w:sz w:val="24"/>
          <w:szCs w:val="24"/>
        </w:rPr>
      </w:pPr>
    </w:p>
    <w:p w:rsidR="00402A77" w:rsidRDefault="00402A77" w:rsidP="00402A77">
      <w:pPr>
        <w:rPr>
          <w:sz w:val="24"/>
          <w:szCs w:val="24"/>
        </w:rPr>
      </w:pPr>
      <w:r>
        <w:rPr>
          <w:sz w:val="24"/>
          <w:szCs w:val="24"/>
        </w:rPr>
        <w:t>Because the final administrative claims may not be known when the annual budget is submitted to the State, the sponsor would make its best estimate of the carryover amount when preparing the annual budget.</w:t>
      </w:r>
      <w:r w:rsidR="000E3ADE">
        <w:rPr>
          <w:sz w:val="24"/>
          <w:szCs w:val="24"/>
        </w:rPr>
        <w:t xml:space="preserve"> </w:t>
      </w:r>
      <w:r>
        <w:rPr>
          <w:sz w:val="24"/>
          <w:szCs w:val="24"/>
        </w:rPr>
        <w:t xml:space="preserve"> The estimate should be based on a comparison of the administrative payments the sponsor expects to receive with the amount of allowable administrative expenses the sponsor expects to incur.  As shown in the example below, this will yield the 10 percent carryover figure and any amount that must be returned to the </w:t>
      </w:r>
      <w:r w:rsidRPr="00657E67">
        <w:rPr>
          <w:sz w:val="24"/>
          <w:szCs w:val="24"/>
        </w:rPr>
        <w:t>State agency</w:t>
      </w:r>
      <w:r>
        <w:rPr>
          <w:sz w:val="24"/>
          <w:szCs w:val="24"/>
        </w:rPr>
        <w:t xml:space="preserve">. </w:t>
      </w:r>
    </w:p>
    <w:p w:rsidR="00402A77" w:rsidRDefault="00402A77" w:rsidP="00402A77">
      <w:pPr>
        <w:rPr>
          <w:sz w:val="24"/>
          <w:szCs w:val="24"/>
        </w:rPr>
      </w:pPr>
    </w:p>
    <w:p w:rsidR="00402A77" w:rsidRDefault="00402A77" w:rsidP="00402A77">
      <w:pPr>
        <w:rPr>
          <w:sz w:val="24"/>
          <w:szCs w:val="24"/>
        </w:rPr>
      </w:pPr>
      <w:r>
        <w:rPr>
          <w:sz w:val="24"/>
          <w:szCs w:val="24"/>
        </w:rPr>
        <w:t>Example:</w:t>
      </w:r>
    </w:p>
    <w:p w:rsidR="00402A77" w:rsidRDefault="00402A77" w:rsidP="00402A77">
      <w:pPr>
        <w:rPr>
          <w:sz w:val="24"/>
          <w:szCs w:val="24"/>
        </w:rPr>
      </w:pPr>
    </w:p>
    <w:p w:rsidR="00402A77" w:rsidRDefault="00402A77" w:rsidP="00402A77">
      <w:pPr>
        <w:rPr>
          <w:sz w:val="24"/>
          <w:szCs w:val="24"/>
        </w:rPr>
      </w:pPr>
      <w:r>
        <w:rPr>
          <w:sz w:val="24"/>
          <w:szCs w:val="24"/>
        </w:rPr>
        <w:t>Sponsor estimates administrative payments of $100,000 during FY 2011</w:t>
      </w:r>
    </w:p>
    <w:p w:rsidR="00402A77" w:rsidRDefault="00402A77" w:rsidP="00402A77">
      <w:pPr>
        <w:rPr>
          <w:sz w:val="24"/>
          <w:szCs w:val="24"/>
        </w:rPr>
      </w:pPr>
      <w:r>
        <w:rPr>
          <w:sz w:val="24"/>
          <w:szCs w:val="24"/>
        </w:rPr>
        <w:t>Sponsor estimates incurring $85,000 in allowable administrative costs during FY 2011</w:t>
      </w:r>
    </w:p>
    <w:p w:rsidR="00402A77" w:rsidRDefault="00402A77" w:rsidP="00402A77">
      <w:pPr>
        <w:rPr>
          <w:sz w:val="24"/>
          <w:szCs w:val="24"/>
        </w:rPr>
      </w:pPr>
      <w:r>
        <w:rPr>
          <w:sz w:val="24"/>
          <w:szCs w:val="24"/>
        </w:rPr>
        <w:t>Sponsor may carryover up to $10,000 into FY 2012 ($100,000 x .10)</w:t>
      </w:r>
    </w:p>
    <w:p w:rsidR="00402A77" w:rsidRDefault="00402A77" w:rsidP="00402A77">
      <w:pPr>
        <w:rPr>
          <w:sz w:val="24"/>
          <w:szCs w:val="24"/>
        </w:rPr>
      </w:pPr>
      <w:r>
        <w:rPr>
          <w:sz w:val="24"/>
          <w:szCs w:val="24"/>
        </w:rPr>
        <w:t>Sponsor must return $5,000 to the State agency ($15,000 - $10,000)</w:t>
      </w:r>
    </w:p>
    <w:p w:rsidR="00402A77" w:rsidRDefault="00402A77" w:rsidP="00402A77">
      <w:pPr>
        <w:rPr>
          <w:sz w:val="24"/>
          <w:szCs w:val="24"/>
        </w:rPr>
      </w:pPr>
    </w:p>
    <w:p w:rsidR="00402A77" w:rsidRDefault="00402A77" w:rsidP="00402A77">
      <w:pPr>
        <w:rPr>
          <w:sz w:val="24"/>
          <w:szCs w:val="24"/>
        </w:rPr>
      </w:pPr>
      <w:r>
        <w:rPr>
          <w:sz w:val="24"/>
          <w:szCs w:val="24"/>
        </w:rPr>
        <w:t>An amended budget must be submitted once the fiscal year close-out has occurred and the carryover amount is finalized and approved by the State agency.  I</w:t>
      </w:r>
      <w:r w:rsidRPr="009919C3">
        <w:rPr>
          <w:sz w:val="24"/>
          <w:szCs w:val="24"/>
        </w:rPr>
        <w:t xml:space="preserve">t </w:t>
      </w:r>
      <w:r>
        <w:rPr>
          <w:sz w:val="24"/>
          <w:szCs w:val="24"/>
        </w:rPr>
        <w:t>is</w:t>
      </w:r>
      <w:r w:rsidRPr="009919C3">
        <w:rPr>
          <w:sz w:val="24"/>
          <w:szCs w:val="24"/>
        </w:rPr>
        <w:t xml:space="preserve"> still necessary </w:t>
      </w:r>
      <w:r>
        <w:rPr>
          <w:sz w:val="24"/>
          <w:szCs w:val="24"/>
        </w:rPr>
        <w:t>for FDCH sponsors to use accrual accounting for</w:t>
      </w:r>
      <w:r w:rsidRPr="009919C3">
        <w:rPr>
          <w:sz w:val="24"/>
          <w:szCs w:val="24"/>
        </w:rPr>
        <w:t xml:space="preserve"> the final claim of the fiscal year</w:t>
      </w:r>
      <w:r>
        <w:rPr>
          <w:sz w:val="24"/>
          <w:szCs w:val="24"/>
        </w:rPr>
        <w:t xml:space="preserve"> so that the end-of-year reconciliation and close-out can be performed</w:t>
      </w:r>
      <w:r w:rsidRPr="009919C3">
        <w:rPr>
          <w:sz w:val="24"/>
          <w:szCs w:val="24"/>
        </w:rPr>
        <w:t>.</w:t>
      </w:r>
      <w:r>
        <w:rPr>
          <w:sz w:val="24"/>
          <w:szCs w:val="24"/>
        </w:rPr>
        <w:t xml:space="preserve"> </w:t>
      </w:r>
    </w:p>
    <w:p w:rsidR="00402A77" w:rsidRDefault="00402A77" w:rsidP="00402A77">
      <w:pPr>
        <w:rPr>
          <w:sz w:val="24"/>
          <w:szCs w:val="24"/>
        </w:rPr>
      </w:pPr>
      <w:r>
        <w:rPr>
          <w:sz w:val="24"/>
          <w:szCs w:val="24"/>
        </w:rPr>
        <w:t xml:space="preserve"> </w:t>
      </w:r>
    </w:p>
    <w:p w:rsidR="00402A77" w:rsidRDefault="00402A77" w:rsidP="00402A77">
      <w:pPr>
        <w:rPr>
          <w:sz w:val="24"/>
          <w:szCs w:val="24"/>
        </w:rPr>
      </w:pPr>
      <w:r w:rsidRPr="0002191B">
        <w:rPr>
          <w:sz w:val="24"/>
          <w:szCs w:val="24"/>
        </w:rPr>
        <w:t xml:space="preserve">State agencies are reminded to maintain a system that monitors </w:t>
      </w:r>
      <w:r>
        <w:rPr>
          <w:sz w:val="24"/>
          <w:szCs w:val="24"/>
        </w:rPr>
        <w:t xml:space="preserve">the FDCH </w:t>
      </w:r>
      <w:r w:rsidRPr="0002191B">
        <w:rPr>
          <w:sz w:val="24"/>
          <w:szCs w:val="24"/>
        </w:rPr>
        <w:t>sponsoring organization</w:t>
      </w:r>
      <w:r>
        <w:rPr>
          <w:sz w:val="24"/>
          <w:szCs w:val="24"/>
        </w:rPr>
        <w:t xml:space="preserve">’s </w:t>
      </w:r>
      <w:r w:rsidRPr="0002191B">
        <w:rPr>
          <w:sz w:val="24"/>
          <w:szCs w:val="24"/>
        </w:rPr>
        <w:t xml:space="preserve">documentation of nonprofit status, </w:t>
      </w:r>
      <w:r>
        <w:rPr>
          <w:sz w:val="24"/>
          <w:szCs w:val="24"/>
        </w:rPr>
        <w:t xml:space="preserve">and ensures that </w:t>
      </w:r>
      <w:r w:rsidRPr="0002191B">
        <w:rPr>
          <w:sz w:val="24"/>
          <w:szCs w:val="24"/>
        </w:rPr>
        <w:t xml:space="preserve">Program funds </w:t>
      </w:r>
      <w:r>
        <w:rPr>
          <w:sz w:val="24"/>
          <w:szCs w:val="24"/>
        </w:rPr>
        <w:t xml:space="preserve">are </w:t>
      </w:r>
      <w:r w:rsidRPr="0002191B">
        <w:rPr>
          <w:sz w:val="24"/>
          <w:szCs w:val="24"/>
        </w:rPr>
        <w:t>used principally for the benefit of participants.</w:t>
      </w:r>
      <w:r>
        <w:rPr>
          <w:sz w:val="24"/>
          <w:szCs w:val="24"/>
        </w:rPr>
        <w:t xml:space="preserve"> </w:t>
      </w:r>
      <w:r w:rsidR="000E3ADE">
        <w:rPr>
          <w:sz w:val="24"/>
          <w:szCs w:val="24"/>
        </w:rPr>
        <w:t xml:space="preserve"> </w:t>
      </w:r>
      <w:r w:rsidRPr="009919C3">
        <w:rPr>
          <w:sz w:val="24"/>
          <w:szCs w:val="24"/>
        </w:rPr>
        <w:t xml:space="preserve">The accumulation of excessive </w:t>
      </w:r>
      <w:r>
        <w:rPr>
          <w:sz w:val="24"/>
          <w:szCs w:val="24"/>
        </w:rPr>
        <w:t xml:space="preserve">balances in the sponsor’s nonprofit food service account </w:t>
      </w:r>
      <w:r w:rsidRPr="009919C3">
        <w:rPr>
          <w:sz w:val="24"/>
          <w:szCs w:val="24"/>
        </w:rPr>
        <w:t>remains prohibited</w:t>
      </w:r>
      <w:r>
        <w:rPr>
          <w:sz w:val="24"/>
          <w:szCs w:val="24"/>
        </w:rPr>
        <w:t xml:space="preserve"> under FNS Instruction 796-2, rev. 3, (“Financial Management in the CACFP”), Section VI</w:t>
      </w:r>
      <w:r w:rsidRPr="009919C3">
        <w:rPr>
          <w:sz w:val="24"/>
          <w:szCs w:val="24"/>
        </w:rPr>
        <w:t xml:space="preserve">.  </w:t>
      </w:r>
    </w:p>
    <w:p w:rsidR="00402A77" w:rsidRDefault="00402A77" w:rsidP="00402A77">
      <w:pPr>
        <w:rPr>
          <w:sz w:val="24"/>
          <w:szCs w:val="24"/>
        </w:rPr>
      </w:pPr>
    </w:p>
    <w:p w:rsidR="00402A77" w:rsidRDefault="00402A77" w:rsidP="00402A77">
      <w:pPr>
        <w:rPr>
          <w:sz w:val="24"/>
          <w:szCs w:val="24"/>
        </w:rPr>
      </w:pPr>
      <w:r>
        <w:rPr>
          <w:sz w:val="24"/>
          <w:szCs w:val="24"/>
        </w:rPr>
        <w:t xml:space="preserve">Please note that sponsors are not required to carry over administrative funds. </w:t>
      </w:r>
      <w:r w:rsidR="000E3ADE">
        <w:rPr>
          <w:sz w:val="24"/>
          <w:szCs w:val="24"/>
        </w:rPr>
        <w:t xml:space="preserve"> </w:t>
      </w:r>
      <w:r>
        <w:rPr>
          <w:sz w:val="24"/>
          <w:szCs w:val="24"/>
        </w:rPr>
        <w:t xml:space="preserve">Any unexpended funds remaining at the end of the fiscal year, which could be carried over into the succeeding fiscal year, may be returned to the State agency </w:t>
      </w:r>
      <w:r w:rsidRPr="00657E67">
        <w:rPr>
          <w:sz w:val="24"/>
          <w:szCs w:val="24"/>
        </w:rPr>
        <w:t>at the sponsor’s option</w:t>
      </w:r>
      <w:r>
        <w:rPr>
          <w:sz w:val="24"/>
          <w:szCs w:val="24"/>
        </w:rPr>
        <w:t>.</w:t>
      </w:r>
      <w:r w:rsidR="000E3ADE">
        <w:rPr>
          <w:sz w:val="24"/>
          <w:szCs w:val="24"/>
        </w:rPr>
        <w:t xml:space="preserve"> </w:t>
      </w:r>
      <w:r>
        <w:rPr>
          <w:sz w:val="24"/>
          <w:szCs w:val="24"/>
        </w:rPr>
        <w:t xml:space="preserve"> In addition, please note that nothing in this memorandum in any way limits or changes the requirements that a State agency:  determine that all institutions are financially viable; establish an overclaim if the sponsor has used CACFP administrative funds improperly; or declare an institution seriously deficient on the basis of its improper use of CACFP administrative funds.</w:t>
      </w:r>
    </w:p>
    <w:p w:rsidR="00055505" w:rsidRDefault="00055505" w:rsidP="00055505">
      <w:pPr>
        <w:autoSpaceDE w:val="0"/>
        <w:autoSpaceDN w:val="0"/>
        <w:adjustRightInd w:val="0"/>
        <w:rPr>
          <w:sz w:val="24"/>
          <w:szCs w:val="24"/>
        </w:rPr>
      </w:pPr>
    </w:p>
    <w:p w:rsidR="00402A77" w:rsidRDefault="00402A77" w:rsidP="00402A77">
      <w:pPr>
        <w:rPr>
          <w:sz w:val="24"/>
          <w:szCs w:val="24"/>
        </w:rPr>
      </w:pPr>
      <w:r w:rsidRPr="008353B4">
        <w:rPr>
          <w:sz w:val="24"/>
          <w:szCs w:val="24"/>
        </w:rPr>
        <w:t>State agencies should direct any questions concerning this guidance to the appropriate Food and Nutrition Service Regional Office. Regional Offices with questions should contact the Child Nutrition Division.</w:t>
      </w:r>
    </w:p>
    <w:p w:rsidR="000E3ADE" w:rsidRPr="004102B0" w:rsidRDefault="000E3ADE" w:rsidP="00402A77">
      <w:pPr>
        <w:rPr>
          <w:sz w:val="24"/>
          <w:szCs w:val="24"/>
        </w:rPr>
      </w:pPr>
    </w:p>
    <w:p w:rsidR="000E3ADE" w:rsidRPr="002D3842" w:rsidRDefault="00075B77" w:rsidP="000E3ADE">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0E3ADE" w:rsidRDefault="000E3ADE" w:rsidP="000E3ADE">
      <w:pPr>
        <w:rPr>
          <w:color w:val="000000"/>
          <w:sz w:val="24"/>
          <w:szCs w:val="24"/>
        </w:rPr>
      </w:pPr>
      <w:r>
        <w:rPr>
          <w:color w:val="000000"/>
          <w:sz w:val="24"/>
          <w:szCs w:val="24"/>
        </w:rPr>
        <w:t>Cynthia Long</w:t>
      </w:r>
    </w:p>
    <w:p w:rsidR="000E3ADE" w:rsidRDefault="000E3ADE" w:rsidP="000E3ADE">
      <w:pPr>
        <w:rPr>
          <w:color w:val="000000"/>
          <w:sz w:val="24"/>
          <w:szCs w:val="24"/>
        </w:rPr>
      </w:pPr>
      <w:r w:rsidRPr="00EC28B7">
        <w:rPr>
          <w:color w:val="000000"/>
          <w:sz w:val="24"/>
          <w:szCs w:val="24"/>
        </w:rPr>
        <w:t>Director</w:t>
      </w:r>
    </w:p>
    <w:p w:rsidR="00496DB6" w:rsidRPr="000E3ADE" w:rsidRDefault="000E3ADE" w:rsidP="000E3ADE">
      <w:pPr>
        <w:rPr>
          <w:color w:val="000000"/>
          <w:sz w:val="24"/>
          <w:szCs w:val="24"/>
        </w:rPr>
      </w:pPr>
      <w:r w:rsidRPr="00EC28B7">
        <w:rPr>
          <w:color w:val="000000"/>
          <w:sz w:val="24"/>
          <w:szCs w:val="24"/>
        </w:rPr>
        <w:t>Child Nutrition Division</w:t>
      </w:r>
    </w:p>
    <w:sectPr w:rsidR="00496DB6" w:rsidRPr="000E3ADE" w:rsidSect="00791EB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C9" w:rsidRDefault="002B75C9">
      <w:r>
        <w:separator/>
      </w:r>
    </w:p>
  </w:endnote>
  <w:endnote w:type="continuationSeparator" w:id="0">
    <w:p w:rsidR="002B75C9" w:rsidRDefault="002B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B6" w:rsidRDefault="00496DB6" w:rsidP="004D0C3E">
    <w:pPr>
      <w:pStyle w:val="Footer"/>
      <w:jc w:val="center"/>
    </w:pPr>
    <w:r>
      <w:rPr>
        <w:rFonts w:ascii="Univers" w:hAnsi="Univers"/>
        <w:sz w:val="16"/>
      </w:rPr>
      <w:t>AN EQUAL OPPORTUNITY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C9" w:rsidRDefault="002B75C9">
      <w:r>
        <w:separator/>
      </w:r>
    </w:p>
  </w:footnote>
  <w:footnote w:type="continuationSeparator" w:id="0">
    <w:p w:rsidR="002B75C9" w:rsidRDefault="002B7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F9B4BF7"/>
    <w:multiLevelType w:val="hybridMultilevel"/>
    <w:tmpl w:val="11207D2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3C621A3"/>
    <w:multiLevelType w:val="hybridMultilevel"/>
    <w:tmpl w:val="C302CA5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8D1E248"/>
    <w:multiLevelType w:val="hybridMultilevel"/>
    <w:tmpl w:val="D1F9E9D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EC27A0"/>
    <w:multiLevelType w:val="hybridMultilevel"/>
    <w:tmpl w:val="7763D54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7D389F"/>
    <w:multiLevelType w:val="hybridMultilevel"/>
    <w:tmpl w:val="68B8794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73AF93B"/>
    <w:multiLevelType w:val="hybridMultilevel"/>
    <w:tmpl w:val="60D77A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C82B0ED"/>
    <w:multiLevelType w:val="hybridMultilevel"/>
    <w:tmpl w:val="6D6232D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F7359F7"/>
    <w:multiLevelType w:val="hybridMultilevel"/>
    <w:tmpl w:val="60D6783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3900AE"/>
    <w:multiLevelType w:val="hybridMultilevel"/>
    <w:tmpl w:val="A21EB37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47802C7"/>
    <w:multiLevelType w:val="hybridMultilevel"/>
    <w:tmpl w:val="A36E394A"/>
    <w:lvl w:ilvl="0" w:tplc="33383C9E">
      <w:start w:val="1"/>
      <w:numFmt w:val="bullet"/>
      <w:lvlText w:val=""/>
      <w:lvlJc w:val="left"/>
      <w:pPr>
        <w:tabs>
          <w:tab w:val="num" w:pos="360"/>
        </w:tabs>
        <w:ind w:left="360" w:hanging="360"/>
      </w:pPr>
      <w:rPr>
        <w:rFonts w:ascii="Symbol" w:hAnsi="Symbol" w:hint="default"/>
        <w:sz w:val="20"/>
      </w:rPr>
    </w:lvl>
    <w:lvl w:ilvl="1" w:tplc="39E451EC">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691F13"/>
    <w:multiLevelType w:val="hybridMultilevel"/>
    <w:tmpl w:val="F294B04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B61AD3"/>
    <w:multiLevelType w:val="hybridMultilevel"/>
    <w:tmpl w:val="DAA2075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552A820"/>
    <w:multiLevelType w:val="hybridMultilevel"/>
    <w:tmpl w:val="1A7737C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1DF384C"/>
    <w:multiLevelType w:val="hybridMultilevel"/>
    <w:tmpl w:val="786314B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4CF2AAC"/>
    <w:multiLevelType w:val="hybridMultilevel"/>
    <w:tmpl w:val="F450248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EF7D38"/>
    <w:multiLevelType w:val="hybridMultilevel"/>
    <w:tmpl w:val="6646F2D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76B626"/>
    <w:multiLevelType w:val="hybridMultilevel"/>
    <w:tmpl w:val="8F994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16"/>
  </w:num>
  <w:num w:numId="4">
    <w:abstractNumId w:val="3"/>
  </w:num>
  <w:num w:numId="5">
    <w:abstractNumId w:val="17"/>
  </w:num>
  <w:num w:numId="6">
    <w:abstractNumId w:val="26"/>
  </w:num>
  <w:num w:numId="7">
    <w:abstractNumId w:val="2"/>
  </w:num>
  <w:num w:numId="8">
    <w:abstractNumId w:val="5"/>
  </w:num>
  <w:num w:numId="9">
    <w:abstractNumId w:val="9"/>
  </w:num>
  <w:num w:numId="10">
    <w:abstractNumId w:val="7"/>
  </w:num>
  <w:num w:numId="11">
    <w:abstractNumId w:val="6"/>
  </w:num>
  <w:num w:numId="12">
    <w:abstractNumId w:val="18"/>
  </w:num>
  <w:num w:numId="13">
    <w:abstractNumId w:val="0"/>
  </w:num>
  <w:num w:numId="14">
    <w:abstractNumId w:val="13"/>
  </w:num>
  <w:num w:numId="15">
    <w:abstractNumId w:val="12"/>
  </w:num>
  <w:num w:numId="16">
    <w:abstractNumId w:val="23"/>
  </w:num>
  <w:num w:numId="17">
    <w:abstractNumId w:val="19"/>
  </w:num>
  <w:num w:numId="18">
    <w:abstractNumId w:val="21"/>
  </w:num>
  <w:num w:numId="19">
    <w:abstractNumId w:val="20"/>
  </w:num>
  <w:num w:numId="20">
    <w:abstractNumId w:val="10"/>
  </w:num>
  <w:num w:numId="21">
    <w:abstractNumId w:val="15"/>
  </w:num>
  <w:num w:numId="22">
    <w:abstractNumId w:val="25"/>
  </w:num>
  <w:num w:numId="23">
    <w:abstractNumId w:val="14"/>
  </w:num>
  <w:num w:numId="24">
    <w:abstractNumId w:val="11"/>
  </w:num>
  <w:num w:numId="25">
    <w:abstractNumId w:val="22"/>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D17810"/>
    <w:rsid w:val="000055C5"/>
    <w:rsid w:val="000063D3"/>
    <w:rsid w:val="00007BBD"/>
    <w:rsid w:val="000100AA"/>
    <w:rsid w:val="000359CC"/>
    <w:rsid w:val="00043F7A"/>
    <w:rsid w:val="000442E6"/>
    <w:rsid w:val="00045E9B"/>
    <w:rsid w:val="0005298B"/>
    <w:rsid w:val="000539C3"/>
    <w:rsid w:val="00053CD7"/>
    <w:rsid w:val="00055505"/>
    <w:rsid w:val="00056265"/>
    <w:rsid w:val="00067A52"/>
    <w:rsid w:val="00072001"/>
    <w:rsid w:val="00075B77"/>
    <w:rsid w:val="00077128"/>
    <w:rsid w:val="000938C8"/>
    <w:rsid w:val="0009746B"/>
    <w:rsid w:val="000A77D4"/>
    <w:rsid w:val="000B16CF"/>
    <w:rsid w:val="000B1E1F"/>
    <w:rsid w:val="000B397F"/>
    <w:rsid w:val="000D060D"/>
    <w:rsid w:val="000D7F16"/>
    <w:rsid w:val="000E3ADE"/>
    <w:rsid w:val="000E5B41"/>
    <w:rsid w:val="000F02D8"/>
    <w:rsid w:val="000F3BDF"/>
    <w:rsid w:val="000F6D97"/>
    <w:rsid w:val="0010292F"/>
    <w:rsid w:val="00112730"/>
    <w:rsid w:val="001170F8"/>
    <w:rsid w:val="001328FC"/>
    <w:rsid w:val="00141D5D"/>
    <w:rsid w:val="00151289"/>
    <w:rsid w:val="001545FA"/>
    <w:rsid w:val="00163528"/>
    <w:rsid w:val="0016505A"/>
    <w:rsid w:val="001808A9"/>
    <w:rsid w:val="001C2D2B"/>
    <w:rsid w:val="001C402B"/>
    <w:rsid w:val="001E0F91"/>
    <w:rsid w:val="001E610A"/>
    <w:rsid w:val="001F50EA"/>
    <w:rsid w:val="00210F18"/>
    <w:rsid w:val="00213C20"/>
    <w:rsid w:val="00216648"/>
    <w:rsid w:val="00221513"/>
    <w:rsid w:val="00221A7D"/>
    <w:rsid w:val="00224304"/>
    <w:rsid w:val="00244821"/>
    <w:rsid w:val="00250B6C"/>
    <w:rsid w:val="002527A9"/>
    <w:rsid w:val="00256BE8"/>
    <w:rsid w:val="0026617A"/>
    <w:rsid w:val="002812C0"/>
    <w:rsid w:val="00285E0A"/>
    <w:rsid w:val="002868AB"/>
    <w:rsid w:val="002907C4"/>
    <w:rsid w:val="00291ECA"/>
    <w:rsid w:val="002939C0"/>
    <w:rsid w:val="00294EE6"/>
    <w:rsid w:val="002B75C9"/>
    <w:rsid w:val="002F28E5"/>
    <w:rsid w:val="00312603"/>
    <w:rsid w:val="0031355B"/>
    <w:rsid w:val="00335663"/>
    <w:rsid w:val="003457BE"/>
    <w:rsid w:val="003569AE"/>
    <w:rsid w:val="00371EFE"/>
    <w:rsid w:val="00384C22"/>
    <w:rsid w:val="00394F7F"/>
    <w:rsid w:val="00396947"/>
    <w:rsid w:val="003A7F90"/>
    <w:rsid w:val="003B2E76"/>
    <w:rsid w:val="003E0490"/>
    <w:rsid w:val="003F7AEC"/>
    <w:rsid w:val="00402A77"/>
    <w:rsid w:val="0040474D"/>
    <w:rsid w:val="004217E4"/>
    <w:rsid w:val="00425E2D"/>
    <w:rsid w:val="00432ABA"/>
    <w:rsid w:val="00453C92"/>
    <w:rsid w:val="00463D57"/>
    <w:rsid w:val="0046538F"/>
    <w:rsid w:val="00494D31"/>
    <w:rsid w:val="0049615D"/>
    <w:rsid w:val="00496DB6"/>
    <w:rsid w:val="004A1A8B"/>
    <w:rsid w:val="004A7E21"/>
    <w:rsid w:val="004B2050"/>
    <w:rsid w:val="004C23DC"/>
    <w:rsid w:val="004D0C3E"/>
    <w:rsid w:val="004D200B"/>
    <w:rsid w:val="004D56B8"/>
    <w:rsid w:val="004E17BB"/>
    <w:rsid w:val="004E34C3"/>
    <w:rsid w:val="004F642D"/>
    <w:rsid w:val="005156CC"/>
    <w:rsid w:val="00524680"/>
    <w:rsid w:val="0052772C"/>
    <w:rsid w:val="00536DDB"/>
    <w:rsid w:val="00543F74"/>
    <w:rsid w:val="00557CFF"/>
    <w:rsid w:val="00571DCE"/>
    <w:rsid w:val="005750BF"/>
    <w:rsid w:val="0058372D"/>
    <w:rsid w:val="005877CC"/>
    <w:rsid w:val="00596A2E"/>
    <w:rsid w:val="005A7D18"/>
    <w:rsid w:val="005B042C"/>
    <w:rsid w:val="005C5A86"/>
    <w:rsid w:val="005D0532"/>
    <w:rsid w:val="005D5315"/>
    <w:rsid w:val="005D66D2"/>
    <w:rsid w:val="005D712A"/>
    <w:rsid w:val="005D748A"/>
    <w:rsid w:val="005E0E77"/>
    <w:rsid w:val="005E1489"/>
    <w:rsid w:val="005E37C8"/>
    <w:rsid w:val="005F04F1"/>
    <w:rsid w:val="005F73DC"/>
    <w:rsid w:val="00610FE5"/>
    <w:rsid w:val="00613738"/>
    <w:rsid w:val="00613BC0"/>
    <w:rsid w:val="00613EC0"/>
    <w:rsid w:val="00633F30"/>
    <w:rsid w:val="00642800"/>
    <w:rsid w:val="00645425"/>
    <w:rsid w:val="006512CC"/>
    <w:rsid w:val="006547C2"/>
    <w:rsid w:val="006768E4"/>
    <w:rsid w:val="006936C7"/>
    <w:rsid w:val="006B2C8A"/>
    <w:rsid w:val="006B2E37"/>
    <w:rsid w:val="006C777F"/>
    <w:rsid w:val="006F0715"/>
    <w:rsid w:val="00701C92"/>
    <w:rsid w:val="007212F1"/>
    <w:rsid w:val="00724EA7"/>
    <w:rsid w:val="00737C9D"/>
    <w:rsid w:val="00746760"/>
    <w:rsid w:val="00754A77"/>
    <w:rsid w:val="007572C1"/>
    <w:rsid w:val="00761108"/>
    <w:rsid w:val="0076713B"/>
    <w:rsid w:val="00767324"/>
    <w:rsid w:val="00774D0E"/>
    <w:rsid w:val="00776FCE"/>
    <w:rsid w:val="007824E6"/>
    <w:rsid w:val="00791064"/>
    <w:rsid w:val="00791EB8"/>
    <w:rsid w:val="007933A8"/>
    <w:rsid w:val="00796C58"/>
    <w:rsid w:val="007A5204"/>
    <w:rsid w:val="007A5C2F"/>
    <w:rsid w:val="007B0EB0"/>
    <w:rsid w:val="007B550F"/>
    <w:rsid w:val="007B75D8"/>
    <w:rsid w:val="007C0D0E"/>
    <w:rsid w:val="007C5026"/>
    <w:rsid w:val="007D2BC8"/>
    <w:rsid w:val="007D4A45"/>
    <w:rsid w:val="007E2815"/>
    <w:rsid w:val="007F63A8"/>
    <w:rsid w:val="008029BA"/>
    <w:rsid w:val="00821186"/>
    <w:rsid w:val="00835497"/>
    <w:rsid w:val="00836024"/>
    <w:rsid w:val="008459D0"/>
    <w:rsid w:val="00845E8D"/>
    <w:rsid w:val="00847A10"/>
    <w:rsid w:val="008717F7"/>
    <w:rsid w:val="00872BD9"/>
    <w:rsid w:val="00882330"/>
    <w:rsid w:val="008A3BCE"/>
    <w:rsid w:val="008A4014"/>
    <w:rsid w:val="008A78E8"/>
    <w:rsid w:val="008B6E6D"/>
    <w:rsid w:val="008B756B"/>
    <w:rsid w:val="008C4C79"/>
    <w:rsid w:val="008C56B6"/>
    <w:rsid w:val="008D3308"/>
    <w:rsid w:val="008E419D"/>
    <w:rsid w:val="008F3EF3"/>
    <w:rsid w:val="0090271D"/>
    <w:rsid w:val="0091010A"/>
    <w:rsid w:val="00913566"/>
    <w:rsid w:val="00913982"/>
    <w:rsid w:val="00915FD4"/>
    <w:rsid w:val="00924C3E"/>
    <w:rsid w:val="009250D7"/>
    <w:rsid w:val="0092741C"/>
    <w:rsid w:val="00943145"/>
    <w:rsid w:val="009460FB"/>
    <w:rsid w:val="00947272"/>
    <w:rsid w:val="009601DE"/>
    <w:rsid w:val="00962C0D"/>
    <w:rsid w:val="009A6E2E"/>
    <w:rsid w:val="009B2C7E"/>
    <w:rsid w:val="009F5019"/>
    <w:rsid w:val="00A13611"/>
    <w:rsid w:val="00A244C5"/>
    <w:rsid w:val="00A40B0B"/>
    <w:rsid w:val="00A446AC"/>
    <w:rsid w:val="00A450C7"/>
    <w:rsid w:val="00A50514"/>
    <w:rsid w:val="00A65923"/>
    <w:rsid w:val="00A835E0"/>
    <w:rsid w:val="00A83987"/>
    <w:rsid w:val="00AA4BF3"/>
    <w:rsid w:val="00AC09A9"/>
    <w:rsid w:val="00AC3D6E"/>
    <w:rsid w:val="00AC716E"/>
    <w:rsid w:val="00AE5E48"/>
    <w:rsid w:val="00AE68AB"/>
    <w:rsid w:val="00AF2A67"/>
    <w:rsid w:val="00AF4512"/>
    <w:rsid w:val="00AF6EC5"/>
    <w:rsid w:val="00B03240"/>
    <w:rsid w:val="00B16DD7"/>
    <w:rsid w:val="00B3390A"/>
    <w:rsid w:val="00B35EB6"/>
    <w:rsid w:val="00B36391"/>
    <w:rsid w:val="00B420EE"/>
    <w:rsid w:val="00B45E93"/>
    <w:rsid w:val="00B5507A"/>
    <w:rsid w:val="00B70E76"/>
    <w:rsid w:val="00B712E0"/>
    <w:rsid w:val="00B773B4"/>
    <w:rsid w:val="00B86555"/>
    <w:rsid w:val="00B92CBF"/>
    <w:rsid w:val="00B9694B"/>
    <w:rsid w:val="00BA519C"/>
    <w:rsid w:val="00BB4CAD"/>
    <w:rsid w:val="00BB5B70"/>
    <w:rsid w:val="00BB5FDE"/>
    <w:rsid w:val="00BD67D0"/>
    <w:rsid w:val="00BE0EBF"/>
    <w:rsid w:val="00BF6F4B"/>
    <w:rsid w:val="00C06B4C"/>
    <w:rsid w:val="00C14DAE"/>
    <w:rsid w:val="00C26753"/>
    <w:rsid w:val="00C3690E"/>
    <w:rsid w:val="00C430C4"/>
    <w:rsid w:val="00C45AAC"/>
    <w:rsid w:val="00C52239"/>
    <w:rsid w:val="00C60AC6"/>
    <w:rsid w:val="00C61C09"/>
    <w:rsid w:val="00C73FA3"/>
    <w:rsid w:val="00C751D1"/>
    <w:rsid w:val="00C838EC"/>
    <w:rsid w:val="00C96D74"/>
    <w:rsid w:val="00CB341E"/>
    <w:rsid w:val="00CF3EC7"/>
    <w:rsid w:val="00D01AB4"/>
    <w:rsid w:val="00D05AE8"/>
    <w:rsid w:val="00D1158A"/>
    <w:rsid w:val="00D153B9"/>
    <w:rsid w:val="00D17810"/>
    <w:rsid w:val="00D2556F"/>
    <w:rsid w:val="00D3064F"/>
    <w:rsid w:val="00D56026"/>
    <w:rsid w:val="00D61847"/>
    <w:rsid w:val="00D62C1F"/>
    <w:rsid w:val="00D70319"/>
    <w:rsid w:val="00D94403"/>
    <w:rsid w:val="00D97277"/>
    <w:rsid w:val="00DA061D"/>
    <w:rsid w:val="00DA6573"/>
    <w:rsid w:val="00DB4B2C"/>
    <w:rsid w:val="00DC1FE9"/>
    <w:rsid w:val="00DC2E19"/>
    <w:rsid w:val="00DD72F7"/>
    <w:rsid w:val="00DE1520"/>
    <w:rsid w:val="00DF06E2"/>
    <w:rsid w:val="00DF5675"/>
    <w:rsid w:val="00E0060D"/>
    <w:rsid w:val="00E04632"/>
    <w:rsid w:val="00E0479E"/>
    <w:rsid w:val="00E07E12"/>
    <w:rsid w:val="00E07EC4"/>
    <w:rsid w:val="00E60346"/>
    <w:rsid w:val="00E62FFE"/>
    <w:rsid w:val="00E669C3"/>
    <w:rsid w:val="00E66B9B"/>
    <w:rsid w:val="00E72222"/>
    <w:rsid w:val="00E74877"/>
    <w:rsid w:val="00E74E6D"/>
    <w:rsid w:val="00E76580"/>
    <w:rsid w:val="00E92A19"/>
    <w:rsid w:val="00E935D2"/>
    <w:rsid w:val="00E96FBE"/>
    <w:rsid w:val="00EA2339"/>
    <w:rsid w:val="00EA50B3"/>
    <w:rsid w:val="00EB2B6E"/>
    <w:rsid w:val="00EB35F3"/>
    <w:rsid w:val="00EC7891"/>
    <w:rsid w:val="00ED1089"/>
    <w:rsid w:val="00ED1B6D"/>
    <w:rsid w:val="00EF10EE"/>
    <w:rsid w:val="00EF54B2"/>
    <w:rsid w:val="00F16327"/>
    <w:rsid w:val="00F16D69"/>
    <w:rsid w:val="00F25191"/>
    <w:rsid w:val="00F3388F"/>
    <w:rsid w:val="00F57CA4"/>
    <w:rsid w:val="00F80D63"/>
    <w:rsid w:val="00F9253B"/>
    <w:rsid w:val="00F925FB"/>
    <w:rsid w:val="00F975E9"/>
    <w:rsid w:val="00FB1858"/>
    <w:rsid w:val="00FB2F1C"/>
    <w:rsid w:val="00FC36A4"/>
    <w:rsid w:val="00FD50FB"/>
    <w:rsid w:val="00FD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7F"/>
  </w:style>
  <w:style w:type="paragraph" w:styleId="Heading1">
    <w:name w:val="heading 1"/>
    <w:basedOn w:val="Normal"/>
    <w:next w:val="Normal"/>
    <w:link w:val="Heading1Char"/>
    <w:uiPriority w:val="9"/>
    <w:qFormat/>
    <w:rsid w:val="000B397F"/>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
    <w:qFormat/>
    <w:rsid w:val="00294EE6"/>
    <w:pPr>
      <w:keepNext/>
      <w:spacing w:before="240" w:after="60"/>
      <w:outlineLvl w:val="3"/>
    </w:pPr>
    <w:rPr>
      <w:b/>
      <w:bCs/>
      <w:sz w:val="28"/>
      <w:szCs w:val="28"/>
    </w:rPr>
  </w:style>
  <w:style w:type="paragraph" w:styleId="Heading5">
    <w:name w:val="heading 5"/>
    <w:basedOn w:val="Normal"/>
    <w:next w:val="Normal"/>
    <w:link w:val="Heading5Char"/>
    <w:uiPriority w:val="9"/>
    <w:qFormat/>
    <w:rsid w:val="00294EE6"/>
    <w:pPr>
      <w:spacing w:before="240" w:after="60"/>
      <w:outlineLvl w:val="4"/>
    </w:pPr>
    <w:rPr>
      <w:b/>
      <w:bCs/>
      <w:i/>
      <w:iCs/>
      <w:sz w:val="26"/>
      <w:szCs w:val="26"/>
    </w:rPr>
  </w:style>
  <w:style w:type="paragraph" w:styleId="Heading6">
    <w:name w:val="heading 6"/>
    <w:basedOn w:val="Normal"/>
    <w:next w:val="Normal"/>
    <w:link w:val="Heading6Char"/>
    <w:uiPriority w:val="9"/>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621"/>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6346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346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34621"/>
    <w:rPr>
      <w:rFonts w:ascii="Calibri" w:eastAsia="Times New Roman" w:hAnsi="Calibri" w:cs="Times New Roman"/>
      <w:b/>
      <w:bCs/>
      <w:sz w:val="22"/>
      <w:szCs w:val="22"/>
    </w:rPr>
  </w:style>
  <w:style w:type="paragraph" w:styleId="Header">
    <w:name w:val="header"/>
    <w:basedOn w:val="Normal"/>
    <w:link w:val="HeaderChar"/>
    <w:uiPriority w:val="99"/>
    <w:rsid w:val="000B397F"/>
    <w:pPr>
      <w:tabs>
        <w:tab w:val="center" w:pos="4320"/>
        <w:tab w:val="right" w:pos="8640"/>
      </w:tabs>
    </w:pPr>
  </w:style>
  <w:style w:type="character" w:customStyle="1" w:styleId="HeaderChar">
    <w:name w:val="Header Char"/>
    <w:basedOn w:val="DefaultParagraphFont"/>
    <w:link w:val="Header"/>
    <w:uiPriority w:val="99"/>
    <w:semiHidden/>
    <w:rsid w:val="00634621"/>
  </w:style>
  <w:style w:type="paragraph" w:styleId="Footer">
    <w:name w:val="footer"/>
    <w:basedOn w:val="Normal"/>
    <w:link w:val="FooterChar"/>
    <w:uiPriority w:val="99"/>
    <w:rsid w:val="000B397F"/>
    <w:pPr>
      <w:tabs>
        <w:tab w:val="center" w:pos="4320"/>
        <w:tab w:val="right" w:pos="8640"/>
      </w:tabs>
    </w:pPr>
  </w:style>
  <w:style w:type="character" w:customStyle="1" w:styleId="FooterChar">
    <w:name w:val="Footer Char"/>
    <w:basedOn w:val="DefaultParagraphFont"/>
    <w:link w:val="Footer"/>
    <w:uiPriority w:val="99"/>
    <w:semiHidden/>
    <w:rsid w:val="00634621"/>
  </w:style>
  <w:style w:type="paragraph" w:styleId="BodyText">
    <w:name w:val="Body Text"/>
    <w:basedOn w:val="Normal"/>
    <w:link w:val="BodyTextChar"/>
    <w:uiPriority w:val="99"/>
    <w:rsid w:val="000B397F"/>
    <w:pPr>
      <w:spacing w:after="120"/>
    </w:pPr>
  </w:style>
  <w:style w:type="character" w:customStyle="1" w:styleId="BodyTextChar">
    <w:name w:val="Body Text Char"/>
    <w:basedOn w:val="DefaultParagraphFont"/>
    <w:link w:val="BodyText"/>
    <w:uiPriority w:val="99"/>
    <w:semiHidden/>
    <w:rsid w:val="00634621"/>
  </w:style>
  <w:style w:type="character" w:styleId="PageNumber">
    <w:name w:val="page number"/>
    <w:basedOn w:val="DefaultParagraphFont"/>
    <w:uiPriority w:val="99"/>
    <w:rsid w:val="000B397F"/>
    <w:rPr>
      <w:rFonts w:cs="Times New Roman"/>
    </w:rPr>
  </w:style>
  <w:style w:type="paragraph" w:styleId="Caption">
    <w:name w:val="caption"/>
    <w:basedOn w:val="Normal"/>
    <w:next w:val="Normal"/>
    <w:uiPriority w:val="35"/>
    <w:qFormat/>
    <w:rsid w:val="000B397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294EE6"/>
    <w:pPr>
      <w:spacing w:after="120"/>
      <w:ind w:left="360"/>
    </w:pPr>
  </w:style>
  <w:style w:type="character" w:customStyle="1" w:styleId="BodyTextIndentChar">
    <w:name w:val="Body Text Indent Char"/>
    <w:basedOn w:val="DefaultParagraphFont"/>
    <w:link w:val="BodyTextIndent"/>
    <w:uiPriority w:val="99"/>
    <w:semiHidden/>
    <w:rsid w:val="00634621"/>
  </w:style>
  <w:style w:type="paragraph" w:styleId="BodyText2">
    <w:name w:val="Body Text 2"/>
    <w:basedOn w:val="Normal"/>
    <w:link w:val="BodyText2Char"/>
    <w:uiPriority w:val="99"/>
    <w:rsid w:val="00294EE6"/>
    <w:pPr>
      <w:spacing w:after="120" w:line="480" w:lineRule="auto"/>
    </w:pPr>
  </w:style>
  <w:style w:type="character" w:customStyle="1" w:styleId="BodyText2Char">
    <w:name w:val="Body Text 2 Char"/>
    <w:basedOn w:val="DefaultParagraphFont"/>
    <w:link w:val="BodyText2"/>
    <w:uiPriority w:val="99"/>
    <w:semiHidden/>
    <w:rsid w:val="00634621"/>
  </w:style>
  <w:style w:type="paragraph" w:styleId="Title">
    <w:name w:val="Title"/>
    <w:basedOn w:val="Default"/>
    <w:next w:val="Default"/>
    <w:link w:val="TitleChar"/>
    <w:uiPriority w:val="10"/>
    <w:qFormat/>
    <w:rsid w:val="00294EE6"/>
    <w:rPr>
      <w:color w:val="auto"/>
    </w:rPr>
  </w:style>
  <w:style w:type="character" w:customStyle="1" w:styleId="TitleChar">
    <w:name w:val="Title Char"/>
    <w:basedOn w:val="DefaultParagraphFont"/>
    <w:link w:val="Title"/>
    <w:uiPriority w:val="10"/>
    <w:rsid w:val="00634621"/>
    <w:rPr>
      <w:rFonts w:ascii="Cambria" w:eastAsia="Times New Roman" w:hAnsi="Cambria" w:cs="Times New Roman"/>
      <w:b/>
      <w:bCs/>
      <w:kern w:val="28"/>
      <w:sz w:val="32"/>
      <w:szCs w:val="32"/>
    </w:rPr>
  </w:style>
  <w:style w:type="character" w:styleId="Emphasis">
    <w:name w:val="Emphasis"/>
    <w:basedOn w:val="DefaultParagraphFont"/>
    <w:uiPriority w:val="20"/>
    <w:qFormat/>
    <w:rsid w:val="007933A8"/>
    <w:rPr>
      <w:rFonts w:cs="Times New Roman"/>
      <w:i/>
      <w:iCs/>
    </w:rPr>
  </w:style>
  <w:style w:type="paragraph" w:styleId="NormalWeb">
    <w:name w:val="Normal (Web)"/>
    <w:basedOn w:val="Normal"/>
    <w:uiPriority w:val="99"/>
    <w:unhideWhenUsed/>
    <w:rsid w:val="00821186"/>
    <w:pPr>
      <w:spacing w:before="100" w:beforeAutospacing="1" w:after="100" w:afterAutospacing="1"/>
    </w:pPr>
    <w:rPr>
      <w:sz w:val="24"/>
      <w:szCs w:val="24"/>
    </w:rPr>
  </w:style>
  <w:style w:type="paragraph" w:styleId="BodyText3">
    <w:name w:val="Body Text 3"/>
    <w:basedOn w:val="Normal"/>
    <w:link w:val="BodyText3Char"/>
    <w:uiPriority w:val="99"/>
    <w:rsid w:val="001808A9"/>
    <w:pPr>
      <w:spacing w:after="120"/>
    </w:pPr>
    <w:rPr>
      <w:sz w:val="16"/>
      <w:szCs w:val="16"/>
    </w:rPr>
  </w:style>
  <w:style w:type="character" w:customStyle="1" w:styleId="BodyText3Char">
    <w:name w:val="Body Text 3 Char"/>
    <w:basedOn w:val="DefaultParagraphFont"/>
    <w:link w:val="BodyText3"/>
    <w:uiPriority w:val="99"/>
    <w:locked/>
    <w:rsid w:val="001808A9"/>
    <w:rPr>
      <w:rFonts w:cs="Times New Roman"/>
      <w:sz w:val="16"/>
      <w:szCs w:val="16"/>
    </w:rPr>
  </w:style>
  <w:style w:type="character" w:styleId="CommentReference">
    <w:name w:val="annotation reference"/>
    <w:basedOn w:val="DefaultParagraphFont"/>
    <w:uiPriority w:val="99"/>
    <w:rsid w:val="00E07EC4"/>
    <w:rPr>
      <w:rFonts w:cs="Times New Roman"/>
      <w:sz w:val="16"/>
      <w:szCs w:val="16"/>
    </w:rPr>
  </w:style>
  <w:style w:type="paragraph" w:styleId="CommentText">
    <w:name w:val="annotation text"/>
    <w:basedOn w:val="Normal"/>
    <w:link w:val="CommentTextChar"/>
    <w:uiPriority w:val="99"/>
    <w:rsid w:val="00E07EC4"/>
  </w:style>
  <w:style w:type="character" w:customStyle="1" w:styleId="CommentTextChar">
    <w:name w:val="Comment Text Char"/>
    <w:basedOn w:val="DefaultParagraphFont"/>
    <w:link w:val="CommentText"/>
    <w:uiPriority w:val="99"/>
    <w:locked/>
    <w:rsid w:val="00E07EC4"/>
    <w:rPr>
      <w:rFonts w:cs="Times New Roman"/>
    </w:rPr>
  </w:style>
  <w:style w:type="paragraph" w:styleId="CommentSubject">
    <w:name w:val="annotation subject"/>
    <w:basedOn w:val="CommentText"/>
    <w:next w:val="CommentText"/>
    <w:link w:val="CommentSubjectChar"/>
    <w:uiPriority w:val="99"/>
    <w:rsid w:val="00E07EC4"/>
    <w:rPr>
      <w:b/>
      <w:bCs/>
    </w:rPr>
  </w:style>
  <w:style w:type="character" w:customStyle="1" w:styleId="CommentSubjectChar">
    <w:name w:val="Comment Subject Char"/>
    <w:basedOn w:val="CommentTextChar"/>
    <w:link w:val="CommentSubject"/>
    <w:uiPriority w:val="99"/>
    <w:locked/>
    <w:rsid w:val="00E07EC4"/>
    <w:rPr>
      <w:b/>
      <w:bCs/>
    </w:rPr>
  </w:style>
  <w:style w:type="paragraph" w:styleId="BalloonText">
    <w:name w:val="Balloon Text"/>
    <w:basedOn w:val="Normal"/>
    <w:link w:val="BalloonTextChar"/>
    <w:uiPriority w:val="99"/>
    <w:rsid w:val="00E07EC4"/>
    <w:rPr>
      <w:rFonts w:ascii="Tahoma" w:hAnsi="Tahoma" w:cs="Tahoma"/>
      <w:sz w:val="16"/>
      <w:szCs w:val="16"/>
    </w:rPr>
  </w:style>
  <w:style w:type="character" w:customStyle="1" w:styleId="BalloonTextChar">
    <w:name w:val="Balloon Text Char"/>
    <w:basedOn w:val="DefaultParagraphFont"/>
    <w:link w:val="BalloonText"/>
    <w:uiPriority w:val="99"/>
    <w:locked/>
    <w:rsid w:val="00E07EC4"/>
    <w:rPr>
      <w:rFonts w:ascii="Tahoma" w:hAnsi="Tahoma" w:cs="Tahoma"/>
      <w:sz w:val="16"/>
      <w:szCs w:val="16"/>
    </w:rPr>
  </w:style>
  <w:style w:type="paragraph" w:styleId="ListParagraph">
    <w:name w:val="List Paragraph"/>
    <w:basedOn w:val="Normal"/>
    <w:uiPriority w:val="34"/>
    <w:qFormat/>
    <w:rsid w:val="00396947"/>
    <w:pPr>
      <w:ind w:left="720"/>
    </w:pPr>
  </w:style>
</w:styles>
</file>

<file path=word/webSettings.xml><?xml version="1.0" encoding="utf-8"?>
<w:webSettings xmlns:r="http://schemas.openxmlformats.org/officeDocument/2006/relationships" xmlns:w="http://schemas.openxmlformats.org/wordprocessingml/2006/main">
  <w:divs>
    <w:div w:id="696352042">
      <w:marLeft w:val="0"/>
      <w:marRight w:val="0"/>
      <w:marTop w:val="0"/>
      <w:marBottom w:val="0"/>
      <w:divBdr>
        <w:top w:val="none" w:sz="0" w:space="0" w:color="auto"/>
        <w:left w:val="none" w:sz="0" w:space="0" w:color="auto"/>
        <w:bottom w:val="none" w:sz="0" w:space="0" w:color="auto"/>
        <w:right w:val="none" w:sz="0" w:space="0" w:color="auto"/>
      </w:divBdr>
      <w:divsChild>
        <w:div w:id="696352044">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696352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2BEE4AC22AC41884CB244153A7BE4" ma:contentTypeVersion="2" ma:contentTypeDescription="Create a new document." ma:contentTypeScope="" ma:versionID="ee7e4f52ddc121e95704ada543bc7f64">
  <xsd:schema xmlns:xsd="http://www.w3.org/2001/XMLSchema" xmlns:p="http://schemas.microsoft.com/office/2006/metadata/properties" xmlns:ns2="2E44A393-6EDA-4DAF-BC81-A525D0170704" targetNamespace="http://schemas.microsoft.com/office/2006/metadata/properties" ma:root="true" ma:fieldsID="a27fa7ae970bcd2fff4e0e33b6241127" ns2:_="">
    <xsd:import namespace="2E44A393-6EDA-4DAF-BC81-A525D0170704"/>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E44A393-6EDA-4DAF-BC81-A525D0170704"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ssue_x0020_Date xmlns="2E44A393-6EDA-4DAF-BC81-A525D0170704">2011-04-08T06:00:00+00:00</Issue_x0020_Date>
    <Description0 xmlns="2E44A393-6EDA-4DAF-BC81-A525D0170704">Child Nutrition Reauthorization 2010: Carry Over of Unused CACFP Administrative Payments</Description0>
  </documentManagement>
</p:properties>
</file>

<file path=customXml/itemProps1.xml><?xml version="1.0" encoding="utf-8"?>
<ds:datastoreItem xmlns:ds="http://schemas.openxmlformats.org/officeDocument/2006/customXml" ds:itemID="{E5D0D141-9A7F-4B5D-A48E-BB2A9463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A393-6EDA-4DAF-BC81-A525D0170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A40B56-9FD9-4317-93B5-DA69903801D7}">
  <ds:schemaRefs>
    <ds:schemaRef ds:uri="http://schemas.microsoft.com/sharepoint/v3/contenttype/forms"/>
  </ds:schemaRefs>
</ds:datastoreItem>
</file>

<file path=customXml/itemProps3.xml><?xml version="1.0" encoding="utf-8"?>
<ds:datastoreItem xmlns:ds="http://schemas.openxmlformats.org/officeDocument/2006/customXml" ds:itemID="{FB3C7EDA-D646-4B9C-A5A2-638807EA086F}">
  <ds:schemaRefs>
    <ds:schemaRef ds:uri="http://schemas.microsoft.com/office/2006/metadata/longProperties"/>
  </ds:schemaRefs>
</ds:datastoreItem>
</file>

<file path=customXml/itemProps4.xml><?xml version="1.0" encoding="utf-8"?>
<ds:datastoreItem xmlns:ds="http://schemas.openxmlformats.org/officeDocument/2006/customXml" ds:itemID="{C576D15B-AA63-4AD0-9B78-636D666802A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sponemon</dc:creator>
  <cp:lastModifiedBy>aander</cp:lastModifiedBy>
  <cp:revision>2</cp:revision>
  <cp:lastPrinted>2011-03-29T20:12:00Z</cp:lastPrinted>
  <dcterms:created xsi:type="dcterms:W3CDTF">2011-08-19T20:12:00Z</dcterms:created>
  <dcterms:modified xsi:type="dcterms:W3CDTF">2011-08-19T20:12:00Z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