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F710BE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0" t="0" r="0" b="9525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613738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C3C">
        <w:rPr>
          <w:sz w:val="24"/>
          <w:szCs w:val="24"/>
        </w:rPr>
        <w:t xml:space="preserve">April </w:t>
      </w:r>
      <w:r w:rsidR="00750D77">
        <w:rPr>
          <w:sz w:val="24"/>
          <w:szCs w:val="24"/>
        </w:rPr>
        <w:t>23</w:t>
      </w:r>
      <w:r w:rsidR="00577C3C">
        <w:rPr>
          <w:sz w:val="24"/>
          <w:szCs w:val="24"/>
        </w:rPr>
        <w:t>, 2014</w:t>
      </w:r>
    </w:p>
    <w:p w:rsidR="00701C92" w:rsidRPr="00701C92" w:rsidRDefault="00701C92" w:rsidP="008A78E8">
      <w:pPr>
        <w:rPr>
          <w:sz w:val="24"/>
          <w:szCs w:val="24"/>
        </w:rPr>
      </w:pPr>
    </w:p>
    <w:p w:rsidR="00701C92" w:rsidRPr="00701C92" w:rsidRDefault="00701C92" w:rsidP="008A78E8">
      <w:pPr>
        <w:rPr>
          <w:sz w:val="24"/>
          <w:szCs w:val="24"/>
        </w:rPr>
      </w:pPr>
      <w:r>
        <w:rPr>
          <w:sz w:val="24"/>
          <w:szCs w:val="24"/>
        </w:rPr>
        <w:t>MEMO CODE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060DC7">
        <w:rPr>
          <w:sz w:val="24"/>
          <w:szCs w:val="24"/>
        </w:rPr>
        <w:t xml:space="preserve">SP </w:t>
      </w:r>
      <w:r w:rsidR="00750D77">
        <w:rPr>
          <w:sz w:val="24"/>
          <w:szCs w:val="24"/>
        </w:rPr>
        <w:t>41</w:t>
      </w:r>
      <w:r w:rsidR="00060DC7">
        <w:rPr>
          <w:sz w:val="24"/>
          <w:szCs w:val="24"/>
        </w:rPr>
        <w:t>-2014</w:t>
      </w:r>
    </w:p>
    <w:p w:rsidR="00701C92" w:rsidRPr="00701C92" w:rsidRDefault="00701C92" w:rsidP="008A78E8">
      <w:pPr>
        <w:rPr>
          <w:sz w:val="24"/>
          <w:szCs w:val="24"/>
        </w:rPr>
      </w:pPr>
    </w:p>
    <w:p w:rsidR="00A06568" w:rsidRPr="00A06568" w:rsidRDefault="00701C92" w:rsidP="00A06568">
      <w:pPr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6568" w:rsidRPr="00A06568">
        <w:rPr>
          <w:sz w:val="24"/>
          <w:szCs w:val="24"/>
        </w:rPr>
        <w:t xml:space="preserve">Clarification of the Policy on Food Consumption Outside of </w:t>
      </w:r>
      <w:r w:rsidR="00A06568">
        <w:rPr>
          <w:sz w:val="24"/>
          <w:szCs w:val="24"/>
        </w:rPr>
        <w:tab/>
      </w:r>
      <w:r w:rsidR="00A06568">
        <w:rPr>
          <w:sz w:val="24"/>
          <w:szCs w:val="24"/>
        </w:rPr>
        <w:tab/>
      </w:r>
      <w:r w:rsidR="00A06568">
        <w:rPr>
          <w:sz w:val="24"/>
          <w:szCs w:val="24"/>
        </w:rPr>
        <w:tab/>
      </w:r>
      <w:r w:rsidR="00A06568">
        <w:rPr>
          <w:sz w:val="24"/>
          <w:szCs w:val="24"/>
        </w:rPr>
        <w:tab/>
      </w:r>
      <w:r w:rsidR="00A06568" w:rsidRPr="00A06568">
        <w:rPr>
          <w:sz w:val="24"/>
          <w:szCs w:val="24"/>
        </w:rPr>
        <w:t xml:space="preserve">Foodservice </w:t>
      </w:r>
      <w:r w:rsidR="00A06568">
        <w:rPr>
          <w:sz w:val="24"/>
          <w:szCs w:val="24"/>
        </w:rPr>
        <w:t xml:space="preserve">Area, and the Whole Grain-Rich </w:t>
      </w:r>
      <w:r w:rsidR="00A06568" w:rsidRPr="00A06568">
        <w:rPr>
          <w:sz w:val="24"/>
          <w:szCs w:val="24"/>
        </w:rPr>
        <w:t>Requirement</w:t>
      </w:r>
    </w:p>
    <w:p w:rsidR="00701C92" w:rsidRPr="00701C92" w:rsidRDefault="00701C92" w:rsidP="008A78E8">
      <w:pPr>
        <w:rPr>
          <w:sz w:val="24"/>
          <w:szCs w:val="24"/>
        </w:rPr>
      </w:pPr>
    </w:p>
    <w:p w:rsidR="001A63D7" w:rsidRDefault="00701C92" w:rsidP="00701C92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63D7">
        <w:rPr>
          <w:sz w:val="24"/>
          <w:szCs w:val="24"/>
        </w:rPr>
        <w:t>Regional Directors</w:t>
      </w:r>
    </w:p>
    <w:p w:rsidR="00701C92" w:rsidRPr="00701C92" w:rsidRDefault="001A63D7" w:rsidP="00701C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1C92" w:rsidRPr="00701C92">
        <w:rPr>
          <w:sz w:val="24"/>
          <w:szCs w:val="24"/>
        </w:rPr>
        <w:t>Special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Regions</w:t>
      </w:r>
      <w:r w:rsidRPr="00701C92">
        <w:rPr>
          <w:sz w:val="24"/>
          <w:szCs w:val="24"/>
        </w:rPr>
        <w:br/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State Directors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Child Nutrition Programs</w:t>
      </w:r>
    </w:p>
    <w:p w:rsidR="00701C92" w:rsidRPr="00701C92" w:rsidRDefault="00701C92" w:rsidP="00701C92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  <w:t>All States</w:t>
      </w:r>
    </w:p>
    <w:p w:rsidR="00A169F3" w:rsidRDefault="00A169F3" w:rsidP="00577C3C">
      <w:pPr>
        <w:rPr>
          <w:sz w:val="24"/>
          <w:szCs w:val="24"/>
        </w:rPr>
      </w:pPr>
    </w:p>
    <w:p w:rsidR="00A169F3" w:rsidRPr="00971A0F" w:rsidRDefault="00A169F3" w:rsidP="00577C3C">
      <w:pPr>
        <w:rPr>
          <w:sz w:val="24"/>
          <w:szCs w:val="24"/>
        </w:rPr>
      </w:pPr>
    </w:p>
    <w:p w:rsidR="00A169F3" w:rsidRPr="00971A0F" w:rsidRDefault="00A169F3" w:rsidP="00577C3C">
      <w:pPr>
        <w:rPr>
          <w:sz w:val="24"/>
          <w:szCs w:val="24"/>
        </w:rPr>
      </w:pPr>
      <w:r w:rsidRPr="00971A0F">
        <w:rPr>
          <w:sz w:val="24"/>
          <w:szCs w:val="24"/>
        </w:rPr>
        <w:t xml:space="preserve">This memorandum is intended to clarify </w:t>
      </w:r>
      <w:r w:rsidR="004F122E">
        <w:rPr>
          <w:sz w:val="24"/>
          <w:szCs w:val="24"/>
        </w:rPr>
        <w:t>two issues</w:t>
      </w:r>
      <w:r w:rsidRPr="00971A0F">
        <w:rPr>
          <w:sz w:val="24"/>
          <w:szCs w:val="24"/>
        </w:rPr>
        <w:t xml:space="preserve"> regarding meals offered under National School Lunch Program (NSLP) and School Breakfast Program (SBP).</w:t>
      </w:r>
      <w:r w:rsidR="00577C3C">
        <w:rPr>
          <w:sz w:val="24"/>
          <w:szCs w:val="24"/>
        </w:rPr>
        <w:t xml:space="preserve"> </w:t>
      </w:r>
      <w:r w:rsidRPr="00971A0F">
        <w:rPr>
          <w:sz w:val="24"/>
          <w:szCs w:val="24"/>
        </w:rPr>
        <w:t xml:space="preserve"> First, the memorandum clarifies the policy of the Food and Nutrition Service </w:t>
      </w:r>
      <w:r w:rsidR="00325435">
        <w:rPr>
          <w:sz w:val="24"/>
          <w:szCs w:val="24"/>
        </w:rPr>
        <w:t xml:space="preserve">(FNS) </w:t>
      </w:r>
      <w:r w:rsidRPr="00971A0F">
        <w:rPr>
          <w:sz w:val="24"/>
          <w:szCs w:val="24"/>
        </w:rPr>
        <w:t xml:space="preserve">regarding student consumption of certain lunch or breakfast items </w:t>
      </w:r>
      <w:r w:rsidR="00B60934">
        <w:rPr>
          <w:sz w:val="24"/>
          <w:szCs w:val="24"/>
        </w:rPr>
        <w:t>outside of the foodservice area and meal period</w:t>
      </w:r>
      <w:r w:rsidRPr="00971A0F">
        <w:rPr>
          <w:sz w:val="24"/>
          <w:szCs w:val="24"/>
        </w:rPr>
        <w:t xml:space="preserve">. </w:t>
      </w:r>
      <w:r w:rsidR="00577C3C">
        <w:rPr>
          <w:sz w:val="24"/>
          <w:szCs w:val="24"/>
        </w:rPr>
        <w:t xml:space="preserve"> </w:t>
      </w:r>
      <w:r w:rsidRPr="00971A0F">
        <w:rPr>
          <w:sz w:val="24"/>
          <w:szCs w:val="24"/>
        </w:rPr>
        <w:t>Second, it clarifies the requirement to offer whole grain-rich products in the NSLP and SBP.</w:t>
      </w:r>
    </w:p>
    <w:p w:rsidR="00272570" w:rsidRDefault="00272570" w:rsidP="00577C3C">
      <w:pPr>
        <w:rPr>
          <w:b/>
          <w:sz w:val="24"/>
          <w:szCs w:val="24"/>
          <w:u w:val="single"/>
        </w:rPr>
      </w:pPr>
    </w:p>
    <w:p w:rsidR="00A169F3" w:rsidRDefault="00577C3C" w:rsidP="00577C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Meal Items </w:t>
      </w:r>
      <w:proofErr w:type="gramStart"/>
      <w:r>
        <w:rPr>
          <w:b/>
          <w:sz w:val="24"/>
          <w:szCs w:val="24"/>
          <w:u w:val="single"/>
        </w:rPr>
        <w:t>Outside</w:t>
      </w:r>
      <w:proofErr w:type="gramEnd"/>
      <w:r>
        <w:rPr>
          <w:b/>
          <w:sz w:val="24"/>
          <w:szCs w:val="24"/>
          <w:u w:val="single"/>
        </w:rPr>
        <w:t xml:space="preserve"> the Food</w:t>
      </w:r>
      <w:r w:rsidR="00A06568">
        <w:rPr>
          <w:b/>
          <w:sz w:val="24"/>
          <w:szCs w:val="24"/>
          <w:u w:val="single"/>
        </w:rPr>
        <w:t>s</w:t>
      </w:r>
      <w:r w:rsidR="00E506DA" w:rsidRPr="00272570">
        <w:rPr>
          <w:b/>
          <w:sz w:val="24"/>
          <w:szCs w:val="24"/>
          <w:u w:val="single"/>
        </w:rPr>
        <w:t>ervice Area</w:t>
      </w:r>
    </w:p>
    <w:p w:rsidR="00A169F3" w:rsidRDefault="00A169F3" w:rsidP="00577C3C">
      <w:pPr>
        <w:rPr>
          <w:sz w:val="24"/>
          <w:szCs w:val="24"/>
        </w:rPr>
      </w:pPr>
      <w:r w:rsidRPr="00971A0F">
        <w:rPr>
          <w:sz w:val="24"/>
          <w:szCs w:val="24"/>
        </w:rPr>
        <w:t xml:space="preserve">Meals offered in the NSLP and SBP are intended to be consumed at school in </w:t>
      </w:r>
      <w:r w:rsidR="00B60934">
        <w:rPr>
          <w:sz w:val="24"/>
          <w:szCs w:val="24"/>
        </w:rPr>
        <w:t>a designated</w:t>
      </w:r>
      <w:r w:rsidRPr="00971A0F">
        <w:rPr>
          <w:sz w:val="24"/>
          <w:szCs w:val="24"/>
        </w:rPr>
        <w:t xml:space="preserve"> foodservice area during the established meal service period.</w:t>
      </w:r>
      <w:r w:rsidR="00577C3C">
        <w:rPr>
          <w:sz w:val="24"/>
          <w:szCs w:val="24"/>
        </w:rPr>
        <w:t xml:space="preserve"> </w:t>
      </w:r>
      <w:r w:rsidRPr="00971A0F">
        <w:rPr>
          <w:sz w:val="24"/>
          <w:szCs w:val="24"/>
        </w:rPr>
        <w:t xml:space="preserve"> However, we recognize that with </w:t>
      </w:r>
      <w:r w:rsidR="004F122E">
        <w:rPr>
          <w:sz w:val="24"/>
          <w:szCs w:val="24"/>
        </w:rPr>
        <w:t xml:space="preserve">time limited lunch periods and </w:t>
      </w:r>
      <w:r w:rsidRPr="00971A0F">
        <w:rPr>
          <w:sz w:val="24"/>
          <w:szCs w:val="24"/>
        </w:rPr>
        <w:t xml:space="preserve">the increased amount of fruits and vegetables offered as part of the meals, some students may be inclined to save some items for consumption at a later time. </w:t>
      </w:r>
      <w:r w:rsidR="00577C3C">
        <w:rPr>
          <w:sz w:val="24"/>
          <w:szCs w:val="24"/>
        </w:rPr>
        <w:t xml:space="preserve"> </w:t>
      </w:r>
      <w:r w:rsidR="00017841">
        <w:rPr>
          <w:sz w:val="24"/>
          <w:szCs w:val="24"/>
        </w:rPr>
        <w:t xml:space="preserve">As a reminder, there is no federal prohibition of this practice, and FNS encourages it as a means of reducing potential food waste and encouraging consumption of healthy school meals.  </w:t>
      </w:r>
      <w:r w:rsidR="00272570">
        <w:rPr>
          <w:sz w:val="24"/>
          <w:szCs w:val="24"/>
        </w:rPr>
        <w:t xml:space="preserve">For food safety reasons, this practice </w:t>
      </w:r>
      <w:r w:rsidR="00375FAA">
        <w:rPr>
          <w:sz w:val="24"/>
          <w:szCs w:val="24"/>
        </w:rPr>
        <w:t xml:space="preserve">should </w:t>
      </w:r>
      <w:r w:rsidR="00272570">
        <w:rPr>
          <w:sz w:val="24"/>
          <w:szCs w:val="24"/>
        </w:rPr>
        <w:t>be limited to only</w:t>
      </w:r>
      <w:r w:rsidRPr="008A12C3">
        <w:rPr>
          <w:sz w:val="24"/>
          <w:szCs w:val="24"/>
        </w:rPr>
        <w:t xml:space="preserve"> food items that do not require cooling or heating, such as a whole fruit or a bag of baby carrots. </w:t>
      </w:r>
      <w:r w:rsidR="00577C3C">
        <w:rPr>
          <w:sz w:val="24"/>
          <w:szCs w:val="24"/>
        </w:rPr>
        <w:t xml:space="preserve"> </w:t>
      </w:r>
      <w:r w:rsidR="00903CC4" w:rsidRPr="00903CC4">
        <w:rPr>
          <w:sz w:val="24"/>
          <w:szCs w:val="24"/>
        </w:rPr>
        <w:t>In addition, schools may also wish to set up sharing tables for appropriate items to minimize food waste.</w:t>
      </w:r>
      <w:r w:rsidR="00903CC4">
        <w:rPr>
          <w:sz w:val="24"/>
          <w:szCs w:val="24"/>
        </w:rPr>
        <w:t xml:space="preserve"> </w:t>
      </w:r>
      <w:r w:rsidR="00577C3C">
        <w:rPr>
          <w:sz w:val="24"/>
          <w:szCs w:val="24"/>
        </w:rPr>
        <w:t xml:space="preserve"> </w:t>
      </w:r>
      <w:r w:rsidR="00375FAA">
        <w:rPr>
          <w:sz w:val="24"/>
          <w:szCs w:val="24"/>
        </w:rPr>
        <w:t>Further, P</w:t>
      </w:r>
      <w:r w:rsidR="00375FAA" w:rsidRPr="00971A0F">
        <w:rPr>
          <w:sz w:val="24"/>
          <w:szCs w:val="24"/>
        </w:rPr>
        <w:t xml:space="preserve">rogram </w:t>
      </w:r>
      <w:r w:rsidRPr="00971A0F">
        <w:rPr>
          <w:sz w:val="24"/>
          <w:szCs w:val="24"/>
        </w:rPr>
        <w:t xml:space="preserve">operators </w:t>
      </w:r>
      <w:r w:rsidR="00017841">
        <w:rPr>
          <w:sz w:val="24"/>
          <w:szCs w:val="24"/>
        </w:rPr>
        <w:t xml:space="preserve">should be aware of all </w:t>
      </w:r>
      <w:r w:rsidRPr="00971A0F">
        <w:rPr>
          <w:sz w:val="24"/>
          <w:szCs w:val="24"/>
        </w:rPr>
        <w:t>applicable State and local food safety regulations</w:t>
      </w:r>
      <w:r w:rsidR="00017841">
        <w:rPr>
          <w:sz w:val="24"/>
          <w:szCs w:val="24"/>
        </w:rPr>
        <w:t xml:space="preserve"> to ensure that their policies for saving or sharing food are</w:t>
      </w:r>
      <w:r w:rsidR="0020632E">
        <w:rPr>
          <w:sz w:val="24"/>
          <w:szCs w:val="24"/>
        </w:rPr>
        <w:t xml:space="preserve"> consistent with such standards, as well as their own </w:t>
      </w:r>
      <w:r w:rsidR="00CB6424">
        <w:rPr>
          <w:sz w:val="24"/>
          <w:szCs w:val="24"/>
        </w:rPr>
        <w:t>H</w:t>
      </w:r>
      <w:r w:rsidR="00706424">
        <w:rPr>
          <w:sz w:val="24"/>
          <w:szCs w:val="24"/>
        </w:rPr>
        <w:t xml:space="preserve">azard </w:t>
      </w:r>
      <w:r w:rsidR="00CB6424">
        <w:rPr>
          <w:sz w:val="24"/>
          <w:szCs w:val="24"/>
        </w:rPr>
        <w:t>A</w:t>
      </w:r>
      <w:r w:rsidR="00706424">
        <w:rPr>
          <w:sz w:val="24"/>
          <w:szCs w:val="24"/>
        </w:rPr>
        <w:t xml:space="preserve">nalysis </w:t>
      </w:r>
      <w:r w:rsidR="00CB6424">
        <w:rPr>
          <w:sz w:val="24"/>
          <w:szCs w:val="24"/>
        </w:rPr>
        <w:t>C</w:t>
      </w:r>
      <w:r w:rsidR="00706424">
        <w:rPr>
          <w:sz w:val="24"/>
          <w:szCs w:val="24"/>
        </w:rPr>
        <w:t xml:space="preserve">ritical </w:t>
      </w:r>
      <w:r w:rsidR="00CB6424">
        <w:rPr>
          <w:sz w:val="24"/>
          <w:szCs w:val="24"/>
        </w:rPr>
        <w:t>C</w:t>
      </w:r>
      <w:r w:rsidR="00706424">
        <w:rPr>
          <w:sz w:val="24"/>
          <w:szCs w:val="24"/>
        </w:rPr>
        <w:t xml:space="preserve">ontrol </w:t>
      </w:r>
      <w:r w:rsidR="00CB6424">
        <w:rPr>
          <w:sz w:val="24"/>
          <w:szCs w:val="24"/>
        </w:rPr>
        <w:t>P</w:t>
      </w:r>
      <w:r w:rsidR="00706424">
        <w:rPr>
          <w:sz w:val="24"/>
          <w:szCs w:val="24"/>
        </w:rPr>
        <w:t>oints</w:t>
      </w:r>
      <w:r w:rsidR="00CB6424">
        <w:rPr>
          <w:sz w:val="24"/>
          <w:szCs w:val="24"/>
        </w:rPr>
        <w:t xml:space="preserve"> plan</w:t>
      </w:r>
      <w:r w:rsidR="0020632E">
        <w:rPr>
          <w:sz w:val="24"/>
          <w:szCs w:val="24"/>
        </w:rPr>
        <w:t>s.</w:t>
      </w:r>
    </w:p>
    <w:p w:rsidR="00903CC4" w:rsidRPr="00971A0F" w:rsidRDefault="00903CC4" w:rsidP="00577C3C">
      <w:pPr>
        <w:rPr>
          <w:sz w:val="24"/>
          <w:szCs w:val="24"/>
        </w:rPr>
      </w:pPr>
    </w:p>
    <w:p w:rsidR="00A169F3" w:rsidRPr="00971A0F" w:rsidRDefault="008A12C3" w:rsidP="00577C3C">
      <w:pPr>
        <w:rPr>
          <w:sz w:val="24"/>
          <w:szCs w:val="24"/>
        </w:rPr>
      </w:pPr>
      <w:r>
        <w:rPr>
          <w:sz w:val="24"/>
          <w:szCs w:val="24"/>
        </w:rPr>
        <w:t>We encourage p</w:t>
      </w:r>
      <w:r w:rsidR="00A169F3" w:rsidRPr="00971A0F">
        <w:rPr>
          <w:sz w:val="24"/>
          <w:szCs w:val="24"/>
        </w:rPr>
        <w:t xml:space="preserve">rogram operators </w:t>
      </w:r>
      <w:r>
        <w:rPr>
          <w:sz w:val="24"/>
          <w:szCs w:val="24"/>
        </w:rPr>
        <w:t xml:space="preserve">to use this </w:t>
      </w:r>
      <w:r w:rsidR="00A169F3" w:rsidRPr="00971A0F">
        <w:rPr>
          <w:sz w:val="24"/>
          <w:szCs w:val="24"/>
        </w:rPr>
        <w:t>flexibility</w:t>
      </w:r>
      <w:r>
        <w:rPr>
          <w:sz w:val="24"/>
          <w:szCs w:val="24"/>
        </w:rPr>
        <w:t xml:space="preserve"> </w:t>
      </w:r>
      <w:r w:rsidR="00A169F3" w:rsidRPr="00971A0F">
        <w:rPr>
          <w:sz w:val="24"/>
          <w:szCs w:val="24"/>
        </w:rPr>
        <w:t xml:space="preserve">to facilitate children’s consumption of fruits and vegetables, and help reduce food waste in the NSLP and SBP. </w:t>
      </w:r>
      <w:r w:rsidR="00577C3C">
        <w:rPr>
          <w:sz w:val="24"/>
          <w:szCs w:val="24"/>
        </w:rPr>
        <w:t xml:space="preserve"> </w:t>
      </w:r>
      <w:r>
        <w:rPr>
          <w:sz w:val="24"/>
          <w:szCs w:val="24"/>
        </w:rPr>
        <w:t>Please note that t</w:t>
      </w:r>
      <w:r w:rsidRPr="00971A0F">
        <w:rPr>
          <w:sz w:val="24"/>
          <w:szCs w:val="24"/>
        </w:rPr>
        <w:t>his flexibility</w:t>
      </w:r>
      <w:r>
        <w:rPr>
          <w:sz w:val="24"/>
          <w:szCs w:val="24"/>
        </w:rPr>
        <w:t xml:space="preserve"> is intended to address practical constraints that may prevent students from consuming t</w:t>
      </w:r>
      <w:r w:rsidR="00577C3C">
        <w:rPr>
          <w:sz w:val="24"/>
          <w:szCs w:val="24"/>
        </w:rPr>
        <w:t>heir entire meal in the food</w:t>
      </w:r>
      <w:r>
        <w:rPr>
          <w:sz w:val="24"/>
          <w:szCs w:val="24"/>
        </w:rPr>
        <w:t>service area.  It</w:t>
      </w:r>
      <w:r w:rsidRPr="00971A0F">
        <w:rPr>
          <w:sz w:val="24"/>
          <w:szCs w:val="24"/>
        </w:rPr>
        <w:t xml:space="preserve"> does not imply that </w:t>
      </w:r>
      <w:r>
        <w:rPr>
          <w:sz w:val="24"/>
          <w:szCs w:val="24"/>
        </w:rPr>
        <w:t>school meals</w:t>
      </w:r>
      <w:r w:rsidRPr="00971A0F">
        <w:rPr>
          <w:sz w:val="24"/>
          <w:szCs w:val="24"/>
        </w:rPr>
        <w:t xml:space="preserve"> may be given to children to take home.</w:t>
      </w:r>
      <w:r w:rsidR="00AA047C" w:rsidRPr="00AA047C">
        <w:rPr>
          <w:sz w:val="24"/>
          <w:szCs w:val="24"/>
        </w:rPr>
        <w:t xml:space="preserve"> </w:t>
      </w:r>
      <w:r w:rsidR="00577C3C">
        <w:rPr>
          <w:sz w:val="24"/>
          <w:szCs w:val="24"/>
        </w:rPr>
        <w:t xml:space="preserve"> </w:t>
      </w:r>
      <w:r w:rsidR="00AA047C" w:rsidRPr="00971A0F">
        <w:rPr>
          <w:sz w:val="24"/>
          <w:szCs w:val="24"/>
        </w:rPr>
        <w:t>In addition, we continue to encourage schools to allow students a reasonable amount of time to select and consume their meals during the meal service period.</w:t>
      </w:r>
    </w:p>
    <w:p w:rsidR="008A12C3" w:rsidRPr="00272570" w:rsidRDefault="00577C3C" w:rsidP="00577C3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 w:rsidR="00E506DA" w:rsidRPr="00272570">
        <w:rPr>
          <w:b/>
          <w:sz w:val="24"/>
          <w:szCs w:val="24"/>
          <w:u w:val="single"/>
        </w:rPr>
        <w:lastRenderedPageBreak/>
        <w:t>Whole Grain</w:t>
      </w:r>
      <w:r w:rsidR="000F4376">
        <w:rPr>
          <w:b/>
          <w:sz w:val="24"/>
          <w:szCs w:val="24"/>
          <w:u w:val="single"/>
        </w:rPr>
        <w:t>-</w:t>
      </w:r>
      <w:r w:rsidR="00E506DA" w:rsidRPr="00272570">
        <w:rPr>
          <w:b/>
          <w:sz w:val="24"/>
          <w:szCs w:val="24"/>
          <w:u w:val="single"/>
        </w:rPr>
        <w:t>Rich Requirement</w:t>
      </w:r>
    </w:p>
    <w:p w:rsidR="00A169F3" w:rsidRPr="00971A0F" w:rsidRDefault="00A169F3" w:rsidP="00577C3C">
      <w:pPr>
        <w:rPr>
          <w:sz w:val="24"/>
          <w:szCs w:val="24"/>
        </w:rPr>
      </w:pPr>
      <w:r w:rsidRPr="00971A0F">
        <w:rPr>
          <w:sz w:val="24"/>
          <w:szCs w:val="24"/>
        </w:rPr>
        <w:t>We also want to take this opportunity to clarify that 100 percent whole grain products are not required in the NSLP and SBP</w:t>
      </w:r>
      <w:r w:rsidR="00F808CE">
        <w:rPr>
          <w:sz w:val="24"/>
          <w:szCs w:val="24"/>
        </w:rPr>
        <w:t xml:space="preserve"> </w:t>
      </w:r>
      <w:r w:rsidR="008913BF">
        <w:rPr>
          <w:sz w:val="24"/>
          <w:szCs w:val="24"/>
        </w:rPr>
        <w:t>this</w:t>
      </w:r>
      <w:r w:rsidR="00272570">
        <w:rPr>
          <w:sz w:val="24"/>
          <w:szCs w:val="24"/>
        </w:rPr>
        <w:t xml:space="preserve"> current school year</w:t>
      </w:r>
      <w:r w:rsidR="008913BF">
        <w:rPr>
          <w:sz w:val="24"/>
          <w:szCs w:val="24"/>
        </w:rPr>
        <w:t>,</w:t>
      </w:r>
      <w:r w:rsidR="00272570">
        <w:rPr>
          <w:sz w:val="24"/>
          <w:szCs w:val="24"/>
        </w:rPr>
        <w:t xml:space="preserve"> nor</w:t>
      </w:r>
      <w:r w:rsidR="008A12C3">
        <w:rPr>
          <w:sz w:val="24"/>
          <w:szCs w:val="24"/>
        </w:rPr>
        <w:t xml:space="preserve"> will they b</w:t>
      </w:r>
      <w:r w:rsidR="00577C3C">
        <w:rPr>
          <w:sz w:val="24"/>
          <w:szCs w:val="24"/>
        </w:rPr>
        <w:t>e required beginning in School Y</w:t>
      </w:r>
      <w:r w:rsidR="008A12C3">
        <w:rPr>
          <w:sz w:val="24"/>
          <w:szCs w:val="24"/>
        </w:rPr>
        <w:t xml:space="preserve">ear </w:t>
      </w:r>
      <w:r w:rsidR="00577C3C">
        <w:rPr>
          <w:sz w:val="24"/>
          <w:szCs w:val="24"/>
        </w:rPr>
        <w:t xml:space="preserve">(SY) </w:t>
      </w:r>
      <w:r w:rsidR="008A12C3">
        <w:rPr>
          <w:sz w:val="24"/>
          <w:szCs w:val="24"/>
        </w:rPr>
        <w:t xml:space="preserve">2014-2015.  </w:t>
      </w:r>
      <w:r w:rsidRPr="00971A0F">
        <w:rPr>
          <w:sz w:val="24"/>
          <w:szCs w:val="24"/>
          <w:u w:val="single"/>
        </w:rPr>
        <w:t>Whole grain-rich</w:t>
      </w:r>
      <w:r w:rsidRPr="00971A0F">
        <w:rPr>
          <w:sz w:val="24"/>
          <w:szCs w:val="24"/>
        </w:rPr>
        <w:t xml:space="preserve"> products are required </w:t>
      </w:r>
      <w:r w:rsidR="00325435">
        <w:rPr>
          <w:sz w:val="24"/>
          <w:szCs w:val="24"/>
        </w:rPr>
        <w:t xml:space="preserve">in both NSLP and </w:t>
      </w:r>
      <w:r w:rsidR="008A12C3">
        <w:rPr>
          <w:sz w:val="24"/>
          <w:szCs w:val="24"/>
        </w:rPr>
        <w:t xml:space="preserve">SBP.  For the current </w:t>
      </w:r>
      <w:r w:rsidR="00577C3C">
        <w:rPr>
          <w:sz w:val="24"/>
          <w:szCs w:val="24"/>
        </w:rPr>
        <w:t>SY</w:t>
      </w:r>
      <w:r w:rsidR="0052051A">
        <w:rPr>
          <w:sz w:val="24"/>
          <w:szCs w:val="24"/>
        </w:rPr>
        <w:t>, half of all grains offered</w:t>
      </w:r>
      <w:r w:rsidR="008A12C3">
        <w:rPr>
          <w:sz w:val="24"/>
          <w:szCs w:val="24"/>
        </w:rPr>
        <w:t xml:space="preserve"> must be </w:t>
      </w:r>
      <w:r w:rsidR="0052051A">
        <w:rPr>
          <w:sz w:val="24"/>
          <w:szCs w:val="24"/>
        </w:rPr>
        <w:t>whole grain</w:t>
      </w:r>
      <w:r w:rsidR="000F4376">
        <w:rPr>
          <w:sz w:val="24"/>
          <w:szCs w:val="24"/>
        </w:rPr>
        <w:t>-</w:t>
      </w:r>
      <w:r w:rsidR="0052051A">
        <w:rPr>
          <w:sz w:val="24"/>
          <w:szCs w:val="24"/>
        </w:rPr>
        <w:t>rich.  B</w:t>
      </w:r>
      <w:r w:rsidRPr="00971A0F">
        <w:rPr>
          <w:sz w:val="24"/>
          <w:szCs w:val="24"/>
        </w:rPr>
        <w:t xml:space="preserve">eginning </w:t>
      </w:r>
      <w:r w:rsidR="00577C3C">
        <w:rPr>
          <w:sz w:val="24"/>
          <w:szCs w:val="24"/>
        </w:rPr>
        <w:t>SY</w:t>
      </w:r>
      <w:r w:rsidRPr="00971A0F">
        <w:rPr>
          <w:sz w:val="24"/>
          <w:szCs w:val="24"/>
        </w:rPr>
        <w:t xml:space="preserve"> 2014-2015 (July 1, 2014)</w:t>
      </w:r>
      <w:r w:rsidR="0052051A">
        <w:rPr>
          <w:sz w:val="24"/>
          <w:szCs w:val="24"/>
        </w:rPr>
        <w:t>, this requirement extends to all grains offered</w:t>
      </w:r>
      <w:r w:rsidRPr="00971A0F">
        <w:rPr>
          <w:sz w:val="24"/>
          <w:szCs w:val="24"/>
        </w:rPr>
        <w:t xml:space="preserve">. </w:t>
      </w:r>
      <w:r w:rsidR="00577C3C">
        <w:rPr>
          <w:sz w:val="24"/>
          <w:szCs w:val="24"/>
        </w:rPr>
        <w:t xml:space="preserve"> </w:t>
      </w:r>
      <w:r w:rsidR="0052051A">
        <w:rPr>
          <w:sz w:val="24"/>
          <w:szCs w:val="24"/>
        </w:rPr>
        <w:t xml:space="preserve">Whole grain rich </w:t>
      </w:r>
      <w:r w:rsidR="000F4376">
        <w:rPr>
          <w:sz w:val="24"/>
          <w:szCs w:val="24"/>
        </w:rPr>
        <w:t>refers to</w:t>
      </w:r>
      <w:r w:rsidR="0052051A">
        <w:rPr>
          <w:sz w:val="24"/>
          <w:szCs w:val="24"/>
        </w:rPr>
        <w:t xml:space="preserve"> produ</w:t>
      </w:r>
      <w:r w:rsidRPr="00971A0F">
        <w:rPr>
          <w:sz w:val="24"/>
          <w:szCs w:val="24"/>
        </w:rPr>
        <w:t xml:space="preserve">cts </w:t>
      </w:r>
      <w:r w:rsidR="0052051A">
        <w:rPr>
          <w:sz w:val="24"/>
          <w:szCs w:val="24"/>
        </w:rPr>
        <w:t>which</w:t>
      </w:r>
      <w:r w:rsidRPr="00971A0F">
        <w:rPr>
          <w:sz w:val="24"/>
          <w:szCs w:val="24"/>
        </w:rPr>
        <w:t xml:space="preserve"> contain </w:t>
      </w:r>
      <w:r w:rsidRPr="00971A0F">
        <w:rPr>
          <w:sz w:val="24"/>
          <w:szCs w:val="24"/>
          <w:u w:val="single"/>
        </w:rPr>
        <w:t>at least 50 percent whole grains and the remainder of the grains can be enriched</w:t>
      </w:r>
      <w:r w:rsidRPr="00971A0F">
        <w:rPr>
          <w:sz w:val="24"/>
          <w:szCs w:val="24"/>
        </w:rPr>
        <w:t xml:space="preserve">. </w:t>
      </w:r>
      <w:r w:rsidR="00577C3C">
        <w:rPr>
          <w:sz w:val="24"/>
          <w:szCs w:val="24"/>
        </w:rPr>
        <w:t xml:space="preserve"> </w:t>
      </w:r>
      <w:r w:rsidRPr="00971A0F">
        <w:rPr>
          <w:sz w:val="24"/>
          <w:szCs w:val="24"/>
        </w:rPr>
        <w:t xml:space="preserve">For example, a product containing 2 cups of whole wheat flour and 2 cups of enriched white flour would meet the 50 percent whole grain-rich requirement if there are no other grains in the product. </w:t>
      </w:r>
      <w:r w:rsidR="00577C3C">
        <w:rPr>
          <w:sz w:val="24"/>
          <w:szCs w:val="24"/>
        </w:rPr>
        <w:t xml:space="preserve"> </w:t>
      </w:r>
      <w:r w:rsidRPr="00971A0F">
        <w:rPr>
          <w:sz w:val="24"/>
          <w:szCs w:val="24"/>
        </w:rPr>
        <w:t>A</w:t>
      </w:r>
      <w:r w:rsidR="00E80046">
        <w:rPr>
          <w:sz w:val="24"/>
          <w:szCs w:val="24"/>
        </w:rPr>
        <w:t>dditional guidance on a</w:t>
      </w:r>
      <w:r w:rsidRPr="00971A0F">
        <w:rPr>
          <w:sz w:val="24"/>
          <w:szCs w:val="24"/>
        </w:rPr>
        <w:t xml:space="preserve">llowable grains </w:t>
      </w:r>
      <w:r w:rsidR="00E80046">
        <w:rPr>
          <w:sz w:val="24"/>
          <w:szCs w:val="24"/>
        </w:rPr>
        <w:t xml:space="preserve">is available </w:t>
      </w:r>
      <w:r w:rsidRPr="00971A0F">
        <w:rPr>
          <w:sz w:val="24"/>
          <w:szCs w:val="24"/>
        </w:rPr>
        <w:t xml:space="preserve">in The Whole Grains Resource </w:t>
      </w:r>
      <w:r w:rsidR="00577C3C">
        <w:rPr>
          <w:sz w:val="24"/>
          <w:szCs w:val="24"/>
        </w:rPr>
        <w:t xml:space="preserve">at </w:t>
      </w:r>
      <w:r w:rsidRPr="00577C3C">
        <w:rPr>
          <w:sz w:val="24"/>
          <w:szCs w:val="24"/>
        </w:rPr>
        <w:t>http://www.fns.usda.gov/tn/whole-grain-resource</w:t>
      </w:r>
      <w:r w:rsidRPr="00971A0F">
        <w:rPr>
          <w:sz w:val="24"/>
          <w:szCs w:val="24"/>
        </w:rPr>
        <w:t>.</w:t>
      </w:r>
    </w:p>
    <w:p w:rsidR="00740956" w:rsidRDefault="00740956" w:rsidP="00577C3C">
      <w:pPr>
        <w:rPr>
          <w:sz w:val="24"/>
          <w:szCs w:val="24"/>
        </w:rPr>
      </w:pPr>
    </w:p>
    <w:p w:rsidR="00F95B50" w:rsidRDefault="004F122E" w:rsidP="00577C3C">
      <w:pPr>
        <w:rPr>
          <w:sz w:val="24"/>
          <w:szCs w:val="24"/>
        </w:rPr>
      </w:pPr>
      <w:r>
        <w:rPr>
          <w:sz w:val="24"/>
          <w:szCs w:val="24"/>
        </w:rPr>
        <w:t>Because these two misconceptions about school meal policies are being reported</w:t>
      </w:r>
      <w:r w:rsidR="00325435">
        <w:rPr>
          <w:sz w:val="24"/>
          <w:szCs w:val="24"/>
        </w:rPr>
        <w:t xml:space="preserve"> by school food authorities</w:t>
      </w:r>
      <w:r>
        <w:rPr>
          <w:sz w:val="24"/>
          <w:szCs w:val="24"/>
        </w:rPr>
        <w:t xml:space="preserve"> </w:t>
      </w:r>
      <w:r w:rsidR="00577C3C">
        <w:rPr>
          <w:sz w:val="24"/>
          <w:szCs w:val="24"/>
        </w:rPr>
        <w:t xml:space="preserve">(SFAs) </w:t>
      </w:r>
      <w:r>
        <w:rPr>
          <w:sz w:val="24"/>
          <w:szCs w:val="24"/>
        </w:rPr>
        <w:t xml:space="preserve">with increasing frequency, </w:t>
      </w:r>
      <w:r w:rsidR="00740956">
        <w:rPr>
          <w:sz w:val="24"/>
          <w:szCs w:val="24"/>
        </w:rPr>
        <w:t>State agencies</w:t>
      </w:r>
      <w:r w:rsidR="008A12C3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</w:t>
      </w:r>
      <w:r w:rsidR="00B60934">
        <w:rPr>
          <w:sz w:val="24"/>
          <w:szCs w:val="24"/>
        </w:rPr>
        <w:t>distribute this memorandum to program operators immediately</w:t>
      </w:r>
      <w:r>
        <w:rPr>
          <w:sz w:val="24"/>
          <w:szCs w:val="24"/>
        </w:rPr>
        <w:t xml:space="preserve"> and ensure that </w:t>
      </w:r>
      <w:r w:rsidR="00577C3C">
        <w:rPr>
          <w:sz w:val="24"/>
          <w:szCs w:val="24"/>
        </w:rPr>
        <w:t>SFAs</w:t>
      </w:r>
      <w:r>
        <w:rPr>
          <w:sz w:val="24"/>
          <w:szCs w:val="24"/>
        </w:rPr>
        <w:t xml:space="preserve"> </w:t>
      </w:r>
      <w:r w:rsidR="00325435">
        <w:rPr>
          <w:sz w:val="24"/>
          <w:szCs w:val="24"/>
        </w:rPr>
        <w:t>are aware of the flexibilities available to them</w:t>
      </w:r>
      <w:r w:rsidR="00B60934">
        <w:rPr>
          <w:sz w:val="24"/>
          <w:szCs w:val="24"/>
        </w:rPr>
        <w:t xml:space="preserve">. </w:t>
      </w:r>
      <w:r w:rsidR="00577C3C">
        <w:rPr>
          <w:sz w:val="24"/>
          <w:szCs w:val="24"/>
        </w:rPr>
        <w:t xml:space="preserve"> SFAs</w:t>
      </w:r>
      <w:r w:rsidR="00B60934">
        <w:rPr>
          <w:sz w:val="24"/>
          <w:szCs w:val="24"/>
        </w:rPr>
        <w:t xml:space="preserve"> and other program operators should direct any questions concerning this guidance to their State agency. </w:t>
      </w:r>
      <w:r w:rsidR="00577C3C">
        <w:rPr>
          <w:sz w:val="24"/>
          <w:szCs w:val="24"/>
        </w:rPr>
        <w:t xml:space="preserve"> </w:t>
      </w:r>
      <w:r w:rsidR="00B60934">
        <w:rPr>
          <w:sz w:val="24"/>
          <w:szCs w:val="24"/>
        </w:rPr>
        <w:t>State agencies with questions should contact the appropriate FNS Regional Office.</w:t>
      </w:r>
    </w:p>
    <w:p w:rsidR="00060DC7" w:rsidRDefault="00060DC7" w:rsidP="00577C3C">
      <w:pPr>
        <w:rPr>
          <w:sz w:val="24"/>
          <w:szCs w:val="24"/>
        </w:rPr>
      </w:pPr>
    </w:p>
    <w:p w:rsidR="00577C3C" w:rsidRDefault="00180B81" w:rsidP="00577C3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2105" cy="635635"/>
            <wp:effectExtent l="0" t="0" r="0" b="0"/>
            <wp:docPr id="3" name="Picture 3" descr="F:\PartnerWeb Admin\Signatures\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rtnerWeb Admin\Signatures\original_sign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DC7" w:rsidRDefault="00060DC7" w:rsidP="00577C3C">
      <w:pPr>
        <w:rPr>
          <w:sz w:val="24"/>
          <w:szCs w:val="24"/>
        </w:rPr>
      </w:pPr>
    </w:p>
    <w:p w:rsidR="00060DC7" w:rsidRDefault="00060DC7" w:rsidP="00577C3C">
      <w:pPr>
        <w:rPr>
          <w:sz w:val="24"/>
          <w:szCs w:val="24"/>
        </w:rPr>
      </w:pPr>
      <w:r>
        <w:rPr>
          <w:sz w:val="24"/>
          <w:szCs w:val="24"/>
        </w:rPr>
        <w:t>Cynthia Long</w:t>
      </w:r>
    </w:p>
    <w:p w:rsidR="00060DC7" w:rsidRDefault="00060DC7" w:rsidP="00577C3C">
      <w:pPr>
        <w:rPr>
          <w:sz w:val="24"/>
          <w:szCs w:val="24"/>
        </w:rPr>
      </w:pPr>
      <w:r>
        <w:rPr>
          <w:sz w:val="24"/>
          <w:szCs w:val="24"/>
        </w:rPr>
        <w:t>Deputy Administrator</w:t>
      </w:r>
    </w:p>
    <w:p w:rsidR="00060DC7" w:rsidRDefault="00060DC7" w:rsidP="00577C3C">
      <w:pPr>
        <w:rPr>
          <w:sz w:val="24"/>
          <w:szCs w:val="24"/>
        </w:rPr>
      </w:pPr>
      <w:r>
        <w:rPr>
          <w:sz w:val="24"/>
          <w:szCs w:val="24"/>
        </w:rPr>
        <w:t>Child Nutrition Programs</w:t>
      </w:r>
    </w:p>
    <w:p w:rsidR="00223C33" w:rsidRDefault="00223C33" w:rsidP="00577C3C">
      <w:pPr>
        <w:rPr>
          <w:sz w:val="24"/>
          <w:szCs w:val="24"/>
        </w:rPr>
      </w:pPr>
    </w:p>
    <w:sectPr w:rsidR="00223C33" w:rsidSect="00060DC7">
      <w:headerReference w:type="even" r:id="rId14"/>
      <w:head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03" w:rsidRDefault="00670203">
      <w:r>
        <w:separator/>
      </w:r>
    </w:p>
  </w:endnote>
  <w:endnote w:type="continuationSeparator" w:id="0">
    <w:p w:rsidR="00670203" w:rsidRDefault="0067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D7" w:rsidRDefault="00195CD7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195CD7" w:rsidRDefault="00195C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03" w:rsidRDefault="00670203">
      <w:r>
        <w:separator/>
      </w:r>
    </w:p>
  </w:footnote>
  <w:footnote w:type="continuationSeparator" w:id="0">
    <w:p w:rsidR="00670203" w:rsidRDefault="00670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C3C" w:rsidRDefault="00577C3C" w:rsidP="00060DC7">
    <w:pPr>
      <w:autoSpaceDE w:val="0"/>
      <w:autoSpaceDN w:val="0"/>
      <w:adjustRightInd w:val="0"/>
      <w:rPr>
        <w:sz w:val="24"/>
        <w:szCs w:val="24"/>
      </w:rPr>
    </w:pPr>
  </w:p>
  <w:p w:rsidR="00577C3C" w:rsidRDefault="00577C3C" w:rsidP="00060DC7">
    <w:pPr>
      <w:autoSpaceDE w:val="0"/>
      <w:autoSpaceDN w:val="0"/>
      <w:adjustRightInd w:val="0"/>
      <w:rPr>
        <w:sz w:val="24"/>
        <w:szCs w:val="24"/>
      </w:rPr>
    </w:pPr>
  </w:p>
  <w:p w:rsidR="00060DC7" w:rsidRDefault="00060DC7" w:rsidP="00060DC7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Regional Directors</w:t>
    </w:r>
  </w:p>
  <w:p w:rsidR="00060DC7" w:rsidRDefault="00060DC7" w:rsidP="00060DC7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State Directors</w:t>
    </w:r>
  </w:p>
  <w:p w:rsidR="00060DC7" w:rsidRDefault="00060DC7">
    <w:pPr>
      <w:pStyle w:val="Header"/>
      <w:rPr>
        <w:sz w:val="24"/>
        <w:szCs w:val="24"/>
      </w:rPr>
    </w:pPr>
    <w:r>
      <w:rPr>
        <w:sz w:val="24"/>
        <w:szCs w:val="24"/>
      </w:rPr>
      <w:t>Page 2</w:t>
    </w:r>
  </w:p>
  <w:p w:rsidR="00060DC7" w:rsidRPr="00060DC7" w:rsidRDefault="00060DC7">
    <w:pPr>
      <w:pStyle w:val="Head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D7" w:rsidRDefault="00195CD7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Regional Directors</w:t>
    </w:r>
  </w:p>
  <w:p w:rsidR="00195CD7" w:rsidRDefault="00195CD7" w:rsidP="00B915D8">
    <w:pPr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>State Directors</w:t>
    </w:r>
  </w:p>
  <w:p w:rsidR="00195CD7" w:rsidRDefault="00060DC7" w:rsidP="00B915D8">
    <w:pPr>
      <w:pStyle w:val="Header"/>
      <w:rPr>
        <w:sz w:val="24"/>
        <w:szCs w:val="24"/>
      </w:rPr>
    </w:pPr>
    <w:r>
      <w:rPr>
        <w:sz w:val="24"/>
        <w:szCs w:val="24"/>
      </w:rPr>
      <w:t>Page 3</w:t>
    </w:r>
  </w:p>
  <w:p w:rsidR="00195CD7" w:rsidRDefault="00195CD7" w:rsidP="00B915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167E1"/>
    <w:rsid w:val="00017841"/>
    <w:rsid w:val="00036DF1"/>
    <w:rsid w:val="000442E6"/>
    <w:rsid w:val="00045E9B"/>
    <w:rsid w:val="000539C3"/>
    <w:rsid w:val="00053CD7"/>
    <w:rsid w:val="00060DC7"/>
    <w:rsid w:val="00070A7B"/>
    <w:rsid w:val="000D0015"/>
    <w:rsid w:val="000E5B41"/>
    <w:rsid w:val="000F06BE"/>
    <w:rsid w:val="000F4376"/>
    <w:rsid w:val="001170F8"/>
    <w:rsid w:val="001328FC"/>
    <w:rsid w:val="00141D5D"/>
    <w:rsid w:val="00151289"/>
    <w:rsid w:val="00152F9D"/>
    <w:rsid w:val="00171573"/>
    <w:rsid w:val="00180B81"/>
    <w:rsid w:val="00195CD7"/>
    <w:rsid w:val="001A445D"/>
    <w:rsid w:val="001A5CFA"/>
    <w:rsid w:val="001A63D7"/>
    <w:rsid w:val="001C2D2B"/>
    <w:rsid w:val="001C6B2D"/>
    <w:rsid w:val="001E610A"/>
    <w:rsid w:val="001F4F25"/>
    <w:rsid w:val="001F50EA"/>
    <w:rsid w:val="0020632E"/>
    <w:rsid w:val="00213C20"/>
    <w:rsid w:val="00221513"/>
    <w:rsid w:val="00223C33"/>
    <w:rsid w:val="00241ECA"/>
    <w:rsid w:val="00250B6C"/>
    <w:rsid w:val="0026617A"/>
    <w:rsid w:val="00272570"/>
    <w:rsid w:val="00285E0A"/>
    <w:rsid w:val="002907C4"/>
    <w:rsid w:val="00291ECA"/>
    <w:rsid w:val="002939C0"/>
    <w:rsid w:val="00294EE6"/>
    <w:rsid w:val="002A0241"/>
    <w:rsid w:val="002E7349"/>
    <w:rsid w:val="0031246E"/>
    <w:rsid w:val="0031355B"/>
    <w:rsid w:val="00325435"/>
    <w:rsid w:val="00347559"/>
    <w:rsid w:val="00364B9E"/>
    <w:rsid w:val="00371EFE"/>
    <w:rsid w:val="00375FAA"/>
    <w:rsid w:val="00377FF2"/>
    <w:rsid w:val="003E0490"/>
    <w:rsid w:val="003E411B"/>
    <w:rsid w:val="003F7AEC"/>
    <w:rsid w:val="004550AF"/>
    <w:rsid w:val="00463D57"/>
    <w:rsid w:val="004C27BC"/>
    <w:rsid w:val="004D0C3E"/>
    <w:rsid w:val="004F122E"/>
    <w:rsid w:val="004F642D"/>
    <w:rsid w:val="0052051A"/>
    <w:rsid w:val="00543F74"/>
    <w:rsid w:val="00577C3C"/>
    <w:rsid w:val="0058372D"/>
    <w:rsid w:val="005C29D7"/>
    <w:rsid w:val="005D0532"/>
    <w:rsid w:val="005D66D2"/>
    <w:rsid w:val="005F73DC"/>
    <w:rsid w:val="00613738"/>
    <w:rsid w:val="00613BC0"/>
    <w:rsid w:val="00633F30"/>
    <w:rsid w:val="00645622"/>
    <w:rsid w:val="006478A0"/>
    <w:rsid w:val="006547C2"/>
    <w:rsid w:val="00666E13"/>
    <w:rsid w:val="00670203"/>
    <w:rsid w:val="00673388"/>
    <w:rsid w:val="006C777F"/>
    <w:rsid w:val="006F4538"/>
    <w:rsid w:val="006F46A5"/>
    <w:rsid w:val="00701C92"/>
    <w:rsid w:val="00706424"/>
    <w:rsid w:val="00706473"/>
    <w:rsid w:val="00724EA7"/>
    <w:rsid w:val="00740956"/>
    <w:rsid w:val="00750D77"/>
    <w:rsid w:val="00767324"/>
    <w:rsid w:val="007824E6"/>
    <w:rsid w:val="00791EB8"/>
    <w:rsid w:val="007933A8"/>
    <w:rsid w:val="007A5204"/>
    <w:rsid w:val="007A68D5"/>
    <w:rsid w:val="007B0EB0"/>
    <w:rsid w:val="007B75D8"/>
    <w:rsid w:val="007C5026"/>
    <w:rsid w:val="007E3242"/>
    <w:rsid w:val="00835497"/>
    <w:rsid w:val="00847A10"/>
    <w:rsid w:val="008717F7"/>
    <w:rsid w:val="008776C7"/>
    <w:rsid w:val="00886D9C"/>
    <w:rsid w:val="008913BF"/>
    <w:rsid w:val="008A12C3"/>
    <w:rsid w:val="008A4014"/>
    <w:rsid w:val="008A78E8"/>
    <w:rsid w:val="008B6E6D"/>
    <w:rsid w:val="008C01DA"/>
    <w:rsid w:val="008C56B6"/>
    <w:rsid w:val="008D3308"/>
    <w:rsid w:val="008D6177"/>
    <w:rsid w:val="00903CC4"/>
    <w:rsid w:val="00913566"/>
    <w:rsid w:val="00915FD4"/>
    <w:rsid w:val="00924C3E"/>
    <w:rsid w:val="009250D7"/>
    <w:rsid w:val="0092741C"/>
    <w:rsid w:val="00927FFE"/>
    <w:rsid w:val="009460FB"/>
    <w:rsid w:val="00947272"/>
    <w:rsid w:val="00962388"/>
    <w:rsid w:val="00962C0D"/>
    <w:rsid w:val="00963200"/>
    <w:rsid w:val="00971A0F"/>
    <w:rsid w:val="009B3880"/>
    <w:rsid w:val="00A06568"/>
    <w:rsid w:val="00A07729"/>
    <w:rsid w:val="00A14757"/>
    <w:rsid w:val="00A169F3"/>
    <w:rsid w:val="00A446AC"/>
    <w:rsid w:val="00A50514"/>
    <w:rsid w:val="00A5395F"/>
    <w:rsid w:val="00A62E23"/>
    <w:rsid w:val="00A72C09"/>
    <w:rsid w:val="00A9559D"/>
    <w:rsid w:val="00AA047C"/>
    <w:rsid w:val="00AA4BF3"/>
    <w:rsid w:val="00AC09A9"/>
    <w:rsid w:val="00AE68AB"/>
    <w:rsid w:val="00AF6EC5"/>
    <w:rsid w:val="00B03240"/>
    <w:rsid w:val="00B050A7"/>
    <w:rsid w:val="00B061D5"/>
    <w:rsid w:val="00B3390A"/>
    <w:rsid w:val="00B35EB6"/>
    <w:rsid w:val="00B45E93"/>
    <w:rsid w:val="00B53A98"/>
    <w:rsid w:val="00B57DD0"/>
    <w:rsid w:val="00B60934"/>
    <w:rsid w:val="00B64B0B"/>
    <w:rsid w:val="00B915D8"/>
    <w:rsid w:val="00B92CBF"/>
    <w:rsid w:val="00BB0EB2"/>
    <w:rsid w:val="00BB5B70"/>
    <w:rsid w:val="00BB5FDE"/>
    <w:rsid w:val="00BE0EBF"/>
    <w:rsid w:val="00BF6F4B"/>
    <w:rsid w:val="00C430C4"/>
    <w:rsid w:val="00CB6424"/>
    <w:rsid w:val="00D05AE8"/>
    <w:rsid w:val="00D10A79"/>
    <w:rsid w:val="00D1158A"/>
    <w:rsid w:val="00D17810"/>
    <w:rsid w:val="00D21827"/>
    <w:rsid w:val="00D3064F"/>
    <w:rsid w:val="00D4590F"/>
    <w:rsid w:val="00D73B32"/>
    <w:rsid w:val="00D87E63"/>
    <w:rsid w:val="00D9047D"/>
    <w:rsid w:val="00D94403"/>
    <w:rsid w:val="00DA061D"/>
    <w:rsid w:val="00DC2E19"/>
    <w:rsid w:val="00DD0ABB"/>
    <w:rsid w:val="00DE5F45"/>
    <w:rsid w:val="00DF3075"/>
    <w:rsid w:val="00DF5E76"/>
    <w:rsid w:val="00E050D0"/>
    <w:rsid w:val="00E16E13"/>
    <w:rsid w:val="00E23DD7"/>
    <w:rsid w:val="00E506DA"/>
    <w:rsid w:val="00E669C3"/>
    <w:rsid w:val="00E80046"/>
    <w:rsid w:val="00E935D2"/>
    <w:rsid w:val="00EB2B6E"/>
    <w:rsid w:val="00ED249A"/>
    <w:rsid w:val="00ED3AE6"/>
    <w:rsid w:val="00EE4F43"/>
    <w:rsid w:val="00EE5A59"/>
    <w:rsid w:val="00EF10EE"/>
    <w:rsid w:val="00F25191"/>
    <w:rsid w:val="00F3388F"/>
    <w:rsid w:val="00F57CA4"/>
    <w:rsid w:val="00F710BE"/>
    <w:rsid w:val="00F808CE"/>
    <w:rsid w:val="00F80D63"/>
    <w:rsid w:val="00F95B50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FF2"/>
  </w:style>
  <w:style w:type="paragraph" w:styleId="Heading1">
    <w:name w:val="heading 1"/>
    <w:basedOn w:val="Normal"/>
    <w:next w:val="Normal"/>
    <w:qFormat/>
    <w:rsid w:val="00377F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7F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7F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77FF2"/>
    <w:pPr>
      <w:spacing w:after="120"/>
    </w:pPr>
  </w:style>
  <w:style w:type="character" w:styleId="PageNumber">
    <w:name w:val="page number"/>
    <w:basedOn w:val="DefaultParagraphFont"/>
    <w:rsid w:val="00377FF2"/>
  </w:style>
  <w:style w:type="paragraph" w:styleId="Caption">
    <w:name w:val="caption"/>
    <w:basedOn w:val="Normal"/>
    <w:next w:val="Normal"/>
    <w:qFormat/>
    <w:rsid w:val="00377FF2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Hyperlink">
    <w:name w:val="Hyperlink"/>
    <w:uiPriority w:val="99"/>
    <w:unhideWhenUsed/>
    <w:rsid w:val="00A169F3"/>
    <w:rPr>
      <w:color w:val="0000FF"/>
      <w:u w:val="single"/>
    </w:rPr>
  </w:style>
  <w:style w:type="character" w:styleId="CommentReference">
    <w:name w:val="annotation reference"/>
    <w:basedOn w:val="DefaultParagraphFont"/>
    <w:rsid w:val="008A1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2C3"/>
  </w:style>
  <w:style w:type="character" w:customStyle="1" w:styleId="CommentTextChar">
    <w:name w:val="Comment Text Char"/>
    <w:basedOn w:val="DefaultParagraphFont"/>
    <w:link w:val="CommentText"/>
    <w:rsid w:val="008A12C3"/>
  </w:style>
  <w:style w:type="paragraph" w:styleId="CommentSubject">
    <w:name w:val="annotation subject"/>
    <w:basedOn w:val="CommentText"/>
    <w:next w:val="CommentText"/>
    <w:link w:val="CommentSubjectChar"/>
    <w:rsid w:val="008A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2C3"/>
    <w:rPr>
      <w:b/>
      <w:bCs/>
    </w:rPr>
  </w:style>
  <w:style w:type="paragraph" w:styleId="BalloonText">
    <w:name w:val="Balloon Text"/>
    <w:basedOn w:val="Normal"/>
    <w:link w:val="BalloonTextChar"/>
    <w:rsid w:val="008A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Hyperlink">
    <w:name w:val="Hyperlink"/>
    <w:uiPriority w:val="99"/>
    <w:unhideWhenUsed/>
    <w:rsid w:val="00A169F3"/>
    <w:rPr>
      <w:color w:val="0000FF"/>
      <w:u w:val="single"/>
    </w:rPr>
  </w:style>
  <w:style w:type="character" w:styleId="CommentReference">
    <w:name w:val="annotation reference"/>
    <w:basedOn w:val="DefaultParagraphFont"/>
    <w:rsid w:val="008A1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12C3"/>
  </w:style>
  <w:style w:type="character" w:customStyle="1" w:styleId="CommentTextChar">
    <w:name w:val="Comment Text Char"/>
    <w:basedOn w:val="DefaultParagraphFont"/>
    <w:link w:val="CommentText"/>
    <w:rsid w:val="008A12C3"/>
  </w:style>
  <w:style w:type="paragraph" w:styleId="CommentSubject">
    <w:name w:val="annotation subject"/>
    <w:basedOn w:val="CommentText"/>
    <w:next w:val="CommentText"/>
    <w:link w:val="CommentSubjectChar"/>
    <w:rsid w:val="008A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12C3"/>
    <w:rPr>
      <w:b/>
      <w:bCs/>
    </w:rPr>
  </w:style>
  <w:style w:type="paragraph" w:styleId="BalloonText">
    <w:name w:val="Balloon Text"/>
    <w:basedOn w:val="Normal"/>
    <w:link w:val="BalloonTextChar"/>
    <w:rsid w:val="008A1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Type>10001</Type>
    <SequenceNumber>10000</SequenceNumber>
    <Assembly>MOSS.Mercury.SNP.EventReceivers, Version=1.0.0.0, Culture=neutral, PublicKeyToken=40f74563e4281ab1</Assembly>
    <Class>MOSS.Mercury.SNP.EventReceivers.MercuryDocumentItemEventReceiver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cury Document" ma:contentTypeID="0x0101003CAA27F9BB162844A957B453487AD27500CEBE9043B180804094C552881CAC7CD8" ma:contentTypeVersion="56" ma:contentTypeDescription="Documents managed within Mercury" ma:contentTypeScope="" ma:versionID="bbb7f9733f6855279737af52c3abc5db">
  <xsd:schema xmlns:xsd="http://www.w3.org/2001/XMLSchema" xmlns:p="http://schemas.microsoft.com/office/2006/metadata/properties" xmlns:ns2="76414393-1dbb-4232-8691-371b83ebe9e8" targetNamespace="http://schemas.microsoft.com/office/2006/metadata/properties" ma:root="true" ma:fieldsID="e4a3c6c8ea3d1a0459987c682f025d69" ns2:_="">
    <xsd:import namespace="76414393-1dbb-4232-8691-371b83ebe9e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ocument_x0020_Status" minOccurs="0"/>
                <xsd:element ref="ns2:ParentContentType" minOccurs="0"/>
                <xsd:element ref="ns2:Paren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414393-1dbb-4232-8691-371b83ebe9e8" elementFormDefault="qualified">
    <xsd:import namespace="http://schemas.microsoft.com/office/2006/documentManagement/types"/>
    <xsd:element name="Document_x0020_Type" ma:index="8" nillable="true" ma:displayName="Document Type" ma:list="{12d8cf0d-f925-4c05-a2aa-3a7af7896766}" ma:internalName="Document_x0020_Type" ma:showField="Title" ma:web="76414393-1dbb-4232-8691-371b83ebe9e8">
      <xsd:simpleType>
        <xsd:restriction base="dms:Lookup"/>
      </xsd:simpleType>
    </xsd:element>
    <xsd:element name="Document_x0020_Status" ma:index="9" nillable="true" ma:displayName="Document Status" ma:list="{24c4a1af-0728-41ab-bf56-9633c90d7eae}" ma:internalName="Document_x0020_Status" ma:showField="Title" ma:web="76414393-1dbb-4232-8691-371b83ebe9e8">
      <xsd:simpleType>
        <xsd:restriction base="dms:Lookup"/>
      </xsd:simpleType>
    </xsd:element>
    <xsd:element name="ParentContentType" ma:index="10" nillable="true" ma:displayName="ParentContentType" ma:hidden="true" ma:internalName="ParentContentType" ma:readOnly="false">
      <xsd:simpleType>
        <xsd:restriction base="dms:Text">
          <xsd:maxLength value="255"/>
        </xsd:restriction>
      </xsd:simpleType>
    </xsd:element>
    <xsd:element name="ParentID" ma:index="11" nillable="true" ma:displayName="ParentID" ma:decimals="0" ma:description="Item ID of Parent Folder in Work Library" ma:hidden="true" ma:internalName="ParentID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ocument_x0020_Status xmlns="76414393-1dbb-4232-8691-371b83ebe9e8" xsi:nil="true"/>
    <ParentID xmlns="76414393-1dbb-4232-8691-371b83ebe9e8">27747</ParentID>
    <Document_x0020_Type xmlns="76414393-1dbb-4232-8691-371b83ebe9e8" xsi:nil="true"/>
    <ParentContentType xmlns="76414393-1dbb-4232-8691-371b83ebe9e8">Work Package</ParentContent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955B-134F-4977-A242-3FCD39CC7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B55B4-303B-4402-BA06-58F842F642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154B25-43A0-44D4-B1F6-A2069553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14393-1dbb-4232-8691-371b83ebe9e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26C1292-722C-4B06-9F1C-E8912A091248}">
  <ds:schemaRefs>
    <ds:schemaRef ds:uri="http://schemas.microsoft.com/office/2006/metadata/properties"/>
    <ds:schemaRef ds:uri="76414393-1dbb-4232-8691-371b83ebe9e8"/>
  </ds:schemaRefs>
</ds:datastoreItem>
</file>

<file path=customXml/itemProps5.xml><?xml version="1.0" encoding="utf-8"?>
<ds:datastoreItem xmlns:ds="http://schemas.openxmlformats.org/officeDocument/2006/customXml" ds:itemID="{F2E64809-259E-48F9-B608-33FBB35A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sbenni</cp:lastModifiedBy>
  <cp:revision>2</cp:revision>
  <cp:lastPrinted>2014-04-22T18:09:00Z</cp:lastPrinted>
  <dcterms:created xsi:type="dcterms:W3CDTF">2014-09-16T19:25:00Z</dcterms:created>
  <dcterms:modified xsi:type="dcterms:W3CDTF">2014-09-16T19:25:00Z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0x0101003CAA27F9BB162844A957B453487AD27500CEBE9043B180804094C552881CAC7CD8</vt:lpwstr>
  </property>
</Properties>
</file>